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6"/>
          <w:rFonts w:hint="default"/>
          <w:color w:val="auto"/>
        </w:rPr>
      </w:pPr>
      <w:r>
        <w:rPr>
          <w:rStyle w:val="6"/>
          <w:rFonts w:hint="default"/>
          <w:color w:val="auto"/>
        </w:rPr>
        <w:t>攀枝花市惠企政策目录清单</w:t>
      </w:r>
    </w:p>
    <w:p>
      <w:pPr>
        <w:spacing w:line="560" w:lineRule="exact"/>
        <w:jc w:val="center"/>
        <w:rPr>
          <w:rStyle w:val="6"/>
          <w:rFonts w:hint="default"/>
          <w:color w:val="auto"/>
        </w:rPr>
      </w:pPr>
      <w:r>
        <w:rPr>
          <w:rStyle w:val="6"/>
          <w:rFonts w:hint="default"/>
          <w:color w:val="auto"/>
        </w:rPr>
        <w:tab/>
      </w:r>
    </w:p>
    <w:tbl>
      <w:tblPr>
        <w:tblStyle w:val="4"/>
        <w:tblW w:w="145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10"/>
        <w:gridCol w:w="756"/>
        <w:gridCol w:w="2163"/>
        <w:gridCol w:w="878"/>
        <w:gridCol w:w="3606"/>
        <w:gridCol w:w="782"/>
        <w:gridCol w:w="1149"/>
        <w:gridCol w:w="1027"/>
        <w:gridCol w:w="152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680" w:type="dxa"/>
            <w:vAlign w:val="center"/>
          </w:tcPr>
          <w:p>
            <w:pPr>
              <w:jc w:val="center"/>
              <w:rPr>
                <w:rFonts w:ascii="宋体" w:hAnsi="宋体" w:cs="宋体"/>
                <w:b/>
                <w:bCs/>
                <w:sz w:val="22"/>
              </w:rPr>
            </w:pPr>
            <w:r>
              <w:rPr>
                <w:rFonts w:hint="eastAsia"/>
                <w:b/>
                <w:bCs/>
                <w:sz w:val="22"/>
              </w:rPr>
              <w:t>序号</w:t>
            </w:r>
          </w:p>
        </w:tc>
        <w:tc>
          <w:tcPr>
            <w:tcW w:w="1210" w:type="dxa"/>
            <w:vAlign w:val="center"/>
          </w:tcPr>
          <w:p>
            <w:pPr>
              <w:jc w:val="center"/>
              <w:rPr>
                <w:rFonts w:ascii="宋体" w:hAnsi="宋体" w:cs="宋体"/>
                <w:b/>
                <w:bCs/>
                <w:sz w:val="22"/>
              </w:rPr>
            </w:pPr>
            <w:r>
              <w:rPr>
                <w:rFonts w:hint="eastAsia"/>
                <w:b/>
                <w:bCs/>
                <w:sz w:val="22"/>
              </w:rPr>
              <w:t>惠企政策事项名称</w:t>
            </w:r>
          </w:p>
        </w:tc>
        <w:tc>
          <w:tcPr>
            <w:tcW w:w="756" w:type="dxa"/>
            <w:vAlign w:val="center"/>
          </w:tcPr>
          <w:p>
            <w:pPr>
              <w:jc w:val="center"/>
              <w:rPr>
                <w:rFonts w:ascii="宋体" w:hAnsi="宋体" w:cs="宋体"/>
                <w:b/>
                <w:bCs/>
                <w:sz w:val="22"/>
              </w:rPr>
            </w:pPr>
            <w:r>
              <w:rPr>
                <w:rFonts w:hint="eastAsia"/>
                <w:b/>
                <w:bCs/>
                <w:sz w:val="22"/>
              </w:rPr>
              <w:t>政策类型</w:t>
            </w:r>
          </w:p>
        </w:tc>
        <w:tc>
          <w:tcPr>
            <w:tcW w:w="2163" w:type="dxa"/>
            <w:vAlign w:val="center"/>
          </w:tcPr>
          <w:p>
            <w:pPr>
              <w:jc w:val="center"/>
              <w:rPr>
                <w:rFonts w:hint="eastAsia" w:ascii="宋体" w:hAnsi="宋体" w:cs="宋体"/>
                <w:b/>
                <w:bCs/>
                <w:sz w:val="22"/>
              </w:rPr>
            </w:pPr>
            <w:r>
              <w:rPr>
                <w:rFonts w:hint="eastAsia"/>
                <w:b/>
                <w:bCs/>
                <w:sz w:val="22"/>
              </w:rPr>
              <w:t>政策出处（文件名称及文号）</w:t>
            </w:r>
          </w:p>
        </w:tc>
        <w:tc>
          <w:tcPr>
            <w:tcW w:w="878" w:type="dxa"/>
            <w:vAlign w:val="center"/>
          </w:tcPr>
          <w:p>
            <w:pPr>
              <w:jc w:val="center"/>
              <w:rPr>
                <w:rFonts w:ascii="宋体" w:hAnsi="宋体" w:cs="宋体"/>
                <w:b/>
                <w:bCs/>
                <w:sz w:val="22"/>
              </w:rPr>
            </w:pPr>
            <w:r>
              <w:rPr>
                <w:rFonts w:hint="eastAsia"/>
                <w:b/>
                <w:bCs/>
                <w:sz w:val="22"/>
              </w:rPr>
              <w:t>适用范围</w:t>
            </w:r>
          </w:p>
        </w:tc>
        <w:tc>
          <w:tcPr>
            <w:tcW w:w="3606" w:type="dxa"/>
            <w:vAlign w:val="center"/>
          </w:tcPr>
          <w:p>
            <w:pPr>
              <w:jc w:val="center"/>
              <w:rPr>
                <w:rFonts w:ascii="宋体" w:hAnsi="宋体" w:cs="宋体"/>
                <w:b/>
                <w:bCs/>
                <w:sz w:val="22"/>
              </w:rPr>
            </w:pPr>
            <w:r>
              <w:rPr>
                <w:rFonts w:hint="eastAsia"/>
                <w:b/>
                <w:bCs/>
                <w:sz w:val="22"/>
              </w:rPr>
              <w:t>申报条件</w:t>
            </w:r>
          </w:p>
        </w:tc>
        <w:tc>
          <w:tcPr>
            <w:tcW w:w="782" w:type="dxa"/>
            <w:vAlign w:val="center"/>
          </w:tcPr>
          <w:p>
            <w:pPr>
              <w:jc w:val="center"/>
              <w:rPr>
                <w:rFonts w:ascii="宋体" w:hAnsi="宋体" w:cs="宋体"/>
                <w:b/>
                <w:bCs/>
                <w:sz w:val="22"/>
              </w:rPr>
            </w:pPr>
            <w:r>
              <w:rPr>
                <w:rFonts w:hint="eastAsia"/>
                <w:b/>
                <w:bCs/>
                <w:sz w:val="22"/>
              </w:rPr>
              <w:t>所属类别</w:t>
            </w:r>
          </w:p>
        </w:tc>
        <w:tc>
          <w:tcPr>
            <w:tcW w:w="1149" w:type="dxa"/>
            <w:vAlign w:val="center"/>
          </w:tcPr>
          <w:p>
            <w:pPr>
              <w:jc w:val="center"/>
              <w:rPr>
                <w:rFonts w:ascii="宋体" w:hAnsi="宋体" w:cs="宋体"/>
                <w:b/>
                <w:bCs/>
                <w:sz w:val="22"/>
              </w:rPr>
            </w:pPr>
            <w:r>
              <w:rPr>
                <w:rFonts w:hint="eastAsia"/>
                <w:b/>
                <w:bCs/>
                <w:sz w:val="22"/>
              </w:rPr>
              <w:t>承办部门</w:t>
            </w:r>
          </w:p>
        </w:tc>
        <w:tc>
          <w:tcPr>
            <w:tcW w:w="1027" w:type="dxa"/>
            <w:vAlign w:val="center"/>
          </w:tcPr>
          <w:p>
            <w:pPr>
              <w:jc w:val="center"/>
              <w:rPr>
                <w:rFonts w:ascii="宋体" w:hAnsi="宋体" w:cs="宋体"/>
                <w:b/>
                <w:bCs/>
                <w:sz w:val="22"/>
              </w:rPr>
            </w:pPr>
            <w:r>
              <w:rPr>
                <w:rFonts w:hint="eastAsia"/>
                <w:b/>
                <w:bCs/>
                <w:sz w:val="22"/>
              </w:rPr>
              <w:t>联系人</w:t>
            </w:r>
          </w:p>
        </w:tc>
        <w:tc>
          <w:tcPr>
            <w:tcW w:w="1527" w:type="dxa"/>
            <w:vAlign w:val="center"/>
          </w:tcPr>
          <w:p>
            <w:pPr>
              <w:jc w:val="center"/>
              <w:rPr>
                <w:rFonts w:ascii="宋体" w:hAnsi="宋体" w:cs="宋体"/>
                <w:b/>
                <w:bCs/>
                <w:sz w:val="22"/>
              </w:rPr>
            </w:pPr>
            <w:r>
              <w:rPr>
                <w:rFonts w:hint="eastAsia"/>
                <w:b/>
                <w:bCs/>
                <w:sz w:val="22"/>
              </w:rPr>
              <w:t>联系方式</w:t>
            </w:r>
          </w:p>
        </w:tc>
        <w:tc>
          <w:tcPr>
            <w:tcW w:w="787" w:type="dxa"/>
            <w:vAlign w:val="center"/>
          </w:tcPr>
          <w:p>
            <w:pPr>
              <w:jc w:val="center"/>
              <w:rPr>
                <w:rFonts w:ascii="宋体" w:hAnsi="宋体" w:cs="宋体"/>
                <w:b/>
                <w:bCs/>
                <w:sz w:val="22"/>
              </w:rPr>
            </w:pPr>
            <w:r>
              <w:rPr>
                <w:rFonts w:hint="eastAsia"/>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7" w:hRule="atLeast"/>
        </w:trPr>
        <w:tc>
          <w:tcPr>
            <w:tcW w:w="680" w:type="dxa"/>
            <w:vAlign w:val="center"/>
          </w:tcPr>
          <w:p>
            <w:pPr>
              <w:widowControl/>
              <w:jc w:val="center"/>
              <w:rPr>
                <w:rFonts w:ascii="宋体" w:hAnsi="宋体" w:cs="宋体"/>
                <w:kern w:val="0"/>
                <w:sz w:val="22"/>
              </w:rPr>
            </w:pPr>
            <w:r>
              <w:rPr>
                <w:rFonts w:hint="eastAsia" w:ascii="宋体" w:hAnsi="宋体" w:cs="宋体"/>
                <w:kern w:val="0"/>
                <w:sz w:val="22"/>
              </w:rPr>
              <w:t>1</w:t>
            </w:r>
          </w:p>
        </w:tc>
        <w:tc>
          <w:tcPr>
            <w:tcW w:w="1210" w:type="dxa"/>
            <w:vAlign w:val="center"/>
          </w:tcPr>
          <w:p>
            <w:pPr>
              <w:widowControl/>
              <w:jc w:val="left"/>
              <w:rPr>
                <w:rFonts w:hint="eastAsia" w:ascii="宋体" w:hAnsi="宋体" w:eastAsia="宋体" w:cs="宋体"/>
                <w:kern w:val="0"/>
                <w:sz w:val="22"/>
                <w:lang w:eastAsia="zh-CN"/>
              </w:rPr>
            </w:pPr>
            <w:r>
              <w:rPr>
                <w:rFonts w:hint="eastAsia" w:ascii="宋体" w:hAnsi="宋体" w:cs="宋体"/>
                <w:kern w:val="0"/>
                <w:sz w:val="22"/>
                <w:lang w:eastAsia="zh-CN"/>
              </w:rPr>
              <w:t>战略长协</w:t>
            </w:r>
          </w:p>
        </w:tc>
        <w:tc>
          <w:tcPr>
            <w:tcW w:w="756" w:type="dxa"/>
            <w:vAlign w:val="center"/>
          </w:tcPr>
          <w:p>
            <w:pPr>
              <w:widowControl/>
              <w:jc w:val="left"/>
              <w:rPr>
                <w:rFonts w:ascii="宋体" w:hAnsi="宋体" w:cs="宋体"/>
                <w:kern w:val="0"/>
                <w:sz w:val="22"/>
              </w:rPr>
            </w:pPr>
            <w:r>
              <w:rPr>
                <w:rFonts w:hint="eastAsia" w:ascii="宋体" w:hAnsi="宋体" w:cs="宋体"/>
                <w:kern w:val="0"/>
                <w:sz w:val="22"/>
              </w:rPr>
              <w:t>　</w:t>
            </w:r>
            <w:r>
              <w:rPr>
                <w:rFonts w:hint="eastAsia" w:ascii="宋体" w:hAnsi="宋体" w:cs="宋体"/>
                <w:kern w:val="0"/>
                <w:sz w:val="22"/>
                <w:lang w:eastAsia="zh-CN"/>
              </w:rPr>
              <w:t>要素保障</w:t>
            </w:r>
          </w:p>
        </w:tc>
        <w:tc>
          <w:tcPr>
            <w:tcW w:w="2163" w:type="dxa"/>
            <w:vAlign w:val="center"/>
          </w:tcPr>
          <w:p>
            <w:pPr>
              <w:widowControl/>
              <w:jc w:val="left"/>
              <w:rPr>
                <w:rFonts w:ascii="宋体" w:hAnsi="宋体" w:cs="宋体"/>
                <w:kern w:val="0"/>
                <w:sz w:val="22"/>
              </w:rPr>
            </w:pPr>
            <w:r>
              <w:rPr>
                <w:rFonts w:hint="eastAsia" w:ascii="宋体" w:hAnsi="宋体" w:cs="宋体"/>
                <w:kern w:val="0"/>
                <w:sz w:val="22"/>
              </w:rPr>
              <w:t>　</w:t>
            </w:r>
            <w:r>
              <w:rPr>
                <w:rFonts w:hint="eastAsia" w:ascii="宋体" w:hAnsi="宋体" w:cs="宋体"/>
                <w:kern w:val="0"/>
                <w:sz w:val="22"/>
                <w:lang w:eastAsia="zh-CN"/>
              </w:rPr>
              <w:t>川府发【</w:t>
            </w:r>
            <w:r>
              <w:rPr>
                <w:rFonts w:hint="eastAsia" w:ascii="宋体" w:hAnsi="宋体" w:cs="宋体"/>
                <w:kern w:val="0"/>
                <w:sz w:val="22"/>
                <w:lang w:val="en-US" w:eastAsia="zh-CN"/>
              </w:rPr>
              <w:t>2018】26号 四川省人民政府关于深化四川电力体制改革的实施意见；川经信电力函【2022】872号 四川省经济和信息化厅关于做好2023年省内电力市场交易战略长协企业年度确认工作的通知</w:t>
            </w:r>
          </w:p>
        </w:tc>
        <w:tc>
          <w:tcPr>
            <w:tcW w:w="878" w:type="dxa"/>
            <w:vAlign w:val="center"/>
          </w:tcPr>
          <w:p>
            <w:pPr>
              <w:widowControl/>
              <w:jc w:val="left"/>
              <w:rPr>
                <w:rFonts w:ascii="宋体" w:hAnsi="宋体" w:cs="宋体"/>
                <w:kern w:val="0"/>
                <w:sz w:val="22"/>
              </w:rPr>
            </w:pPr>
            <w:r>
              <w:rPr>
                <w:rFonts w:hint="eastAsia" w:ascii="宋体" w:hAnsi="宋体" w:cs="宋体"/>
                <w:kern w:val="0"/>
                <w:sz w:val="22"/>
                <w:lang w:eastAsia="zh-CN"/>
              </w:rPr>
              <w:t>工业企业</w:t>
            </w:r>
          </w:p>
        </w:tc>
        <w:tc>
          <w:tcPr>
            <w:tcW w:w="3606" w:type="dxa"/>
            <w:vAlign w:val="center"/>
          </w:tcPr>
          <w:p>
            <w:pPr>
              <w:widowControl/>
              <w:jc w:val="left"/>
              <w:rPr>
                <w:rFonts w:ascii="宋体" w:hAnsi="宋体" w:cs="宋体"/>
                <w:kern w:val="0"/>
                <w:sz w:val="22"/>
              </w:rPr>
            </w:pPr>
            <w:r>
              <w:rPr>
                <w:rFonts w:hint="eastAsia" w:ascii="宋体" w:hAnsi="宋体" w:cs="宋体"/>
                <w:kern w:val="0"/>
                <w:sz w:val="22"/>
              </w:rPr>
              <w:t>　</w:t>
            </w:r>
            <w:bookmarkStart w:id="0" w:name="_GoBack"/>
            <w:r>
              <w:rPr>
                <w:rFonts w:hint="eastAsia" w:ascii="宋体" w:hAnsi="宋体" w:cs="宋体"/>
                <w:kern w:val="0"/>
                <w:sz w:val="22"/>
                <w:lang w:eastAsia="zh-CN"/>
              </w:rPr>
              <w:t>钒钛园区</w:t>
            </w:r>
            <w:r>
              <w:rPr>
                <w:rFonts w:hint="eastAsia" w:ascii="宋体" w:hAnsi="宋体" w:cs="宋体"/>
                <w:kern w:val="0"/>
                <w:sz w:val="22"/>
                <w:lang w:val="en-US" w:eastAsia="zh-CN"/>
              </w:rPr>
              <w:t>非钒钛企业不得申报</w:t>
            </w:r>
            <w:bookmarkEnd w:id="0"/>
          </w:p>
        </w:tc>
        <w:tc>
          <w:tcPr>
            <w:tcW w:w="782" w:type="dxa"/>
            <w:vAlign w:val="center"/>
          </w:tcPr>
          <w:p>
            <w:pPr>
              <w:widowControl/>
              <w:jc w:val="left"/>
              <w:rPr>
                <w:rFonts w:ascii="宋体" w:hAnsi="宋体" w:cs="宋体"/>
                <w:kern w:val="0"/>
                <w:sz w:val="22"/>
              </w:rPr>
            </w:pPr>
            <w:r>
              <w:rPr>
                <w:rFonts w:hint="eastAsia" w:ascii="宋体" w:hAnsi="宋体" w:cs="宋体"/>
                <w:kern w:val="0"/>
                <w:sz w:val="22"/>
              </w:rPr>
              <w:t>　依申请事项</w:t>
            </w:r>
          </w:p>
        </w:tc>
        <w:tc>
          <w:tcPr>
            <w:tcW w:w="1149" w:type="dxa"/>
            <w:vAlign w:val="center"/>
          </w:tcPr>
          <w:p>
            <w:pPr>
              <w:widowControl/>
              <w:jc w:val="left"/>
              <w:rPr>
                <w:rFonts w:ascii="宋体" w:hAnsi="宋体" w:cs="宋体"/>
                <w:kern w:val="0"/>
                <w:sz w:val="22"/>
              </w:rPr>
            </w:pPr>
            <w:r>
              <w:rPr>
                <w:rFonts w:hint="eastAsia" w:ascii="宋体" w:hAnsi="宋体" w:cs="宋体"/>
                <w:kern w:val="0"/>
                <w:sz w:val="22"/>
              </w:rPr>
              <w:t>　</w:t>
            </w:r>
            <w:r>
              <w:rPr>
                <w:rFonts w:hint="eastAsia" w:ascii="宋体" w:hAnsi="宋体" w:cs="宋体"/>
                <w:kern w:val="0"/>
                <w:sz w:val="22"/>
                <w:lang w:eastAsia="zh-CN"/>
              </w:rPr>
              <w:t>钒钛高新区科技创新和经济发展局</w:t>
            </w:r>
          </w:p>
        </w:tc>
        <w:tc>
          <w:tcPr>
            <w:tcW w:w="10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刘小驰</w:t>
            </w:r>
          </w:p>
        </w:tc>
        <w:tc>
          <w:tcPr>
            <w:tcW w:w="15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kern w:val="0"/>
                <w:sz w:val="22"/>
                <w:szCs w:val="22"/>
                <w:lang w:val="en-US" w:eastAsia="zh-CN" w:bidi="ar-SA"/>
              </w:rPr>
            </w:pPr>
            <w:r>
              <w:rPr>
                <w:rFonts w:hint="eastAsia" w:ascii="宋体" w:hAnsi="宋体" w:cs="宋体"/>
                <w:kern w:val="0"/>
                <w:sz w:val="22"/>
                <w:lang w:val="en-US" w:eastAsia="zh-CN"/>
              </w:rPr>
              <w:t>13882398115</w:t>
            </w:r>
          </w:p>
        </w:tc>
        <w:tc>
          <w:tcPr>
            <w:tcW w:w="787" w:type="dxa"/>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5" w:hRule="atLeast"/>
        </w:trPr>
        <w:tc>
          <w:tcPr>
            <w:tcW w:w="680" w:type="dxa"/>
            <w:vAlign w:val="center"/>
          </w:tcPr>
          <w:p>
            <w:pPr>
              <w:widowControl/>
              <w:jc w:val="center"/>
              <w:rPr>
                <w:rFonts w:ascii="宋体" w:hAnsi="宋体" w:cs="宋体"/>
                <w:kern w:val="0"/>
                <w:sz w:val="22"/>
              </w:rPr>
            </w:pPr>
            <w:r>
              <w:rPr>
                <w:rFonts w:hint="eastAsia" w:ascii="宋体" w:hAnsi="宋体" w:cs="宋体"/>
                <w:kern w:val="0"/>
                <w:sz w:val="22"/>
              </w:rPr>
              <w:t>2</w:t>
            </w:r>
          </w:p>
        </w:tc>
        <w:tc>
          <w:tcPr>
            <w:tcW w:w="1210"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水电消纳</w:t>
            </w:r>
          </w:p>
        </w:tc>
        <w:tc>
          <w:tcPr>
            <w:tcW w:w="75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ascii="宋体" w:hAnsi="宋体" w:eastAsia="宋体" w:cs="宋体"/>
                <w:kern w:val="0"/>
                <w:sz w:val="22"/>
                <w:szCs w:val="22"/>
                <w:lang w:val="en-US" w:eastAsia="zh-CN" w:bidi="ar-SA"/>
              </w:rPr>
            </w:pPr>
            <w:r>
              <w:rPr>
                <w:rFonts w:hint="eastAsia" w:ascii="宋体" w:hAnsi="宋体" w:cs="宋体"/>
                <w:kern w:val="0"/>
                <w:sz w:val="22"/>
                <w:lang w:eastAsia="zh-CN"/>
              </w:rPr>
              <w:t>要素保障</w:t>
            </w:r>
          </w:p>
        </w:tc>
        <w:tc>
          <w:tcPr>
            <w:tcW w:w="2163"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val="en-US" w:eastAsia="zh-CN"/>
              </w:rPr>
            </w:pPr>
            <w:r>
              <w:rPr>
                <w:rFonts w:hint="eastAsia" w:ascii="宋体" w:hAnsi="宋体" w:cs="宋体"/>
                <w:kern w:val="0"/>
                <w:sz w:val="22"/>
                <w:lang w:eastAsia="zh-CN"/>
              </w:rPr>
              <w:t>川府发【</w:t>
            </w:r>
            <w:r>
              <w:rPr>
                <w:rFonts w:hint="eastAsia" w:ascii="宋体" w:hAnsi="宋体" w:cs="宋体"/>
                <w:kern w:val="0"/>
                <w:sz w:val="22"/>
                <w:lang w:val="en-US" w:eastAsia="zh-CN"/>
              </w:rPr>
              <w:t>2018】26号 四川省人民政府关于深化四川电力体制改革的实施意见；川办发【2019】50号 四川省人民政府办公厅转发四川省水电消纳产业示范区建设实施方案的通知</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kern w:val="0"/>
                <w:sz w:val="22"/>
                <w:szCs w:val="22"/>
                <w:lang w:val="en-US" w:eastAsia="zh-CN" w:bidi="ar-SA"/>
              </w:rPr>
            </w:pPr>
            <w:r>
              <w:rPr>
                <w:rFonts w:hint="eastAsia" w:ascii="宋体" w:hAnsi="宋体" w:cs="宋体"/>
                <w:kern w:val="0"/>
                <w:sz w:val="22"/>
                <w:lang w:val="en-US" w:eastAsia="zh-CN"/>
              </w:rPr>
              <w:t>川经信电力【2020】51号 四川省经济和信息化厅等5部门关于印发《四川省2020年水电消纳产业示范区电力专场交易实施方案》的通知</w:t>
            </w:r>
          </w:p>
        </w:tc>
        <w:tc>
          <w:tcPr>
            <w:tcW w:w="878"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kern w:val="0"/>
                <w:sz w:val="22"/>
                <w:szCs w:val="22"/>
                <w:lang w:val="en-US" w:eastAsia="zh-CN" w:bidi="ar-SA"/>
              </w:rPr>
            </w:pPr>
            <w:r>
              <w:rPr>
                <w:rFonts w:hint="eastAsia" w:ascii="宋体" w:hAnsi="宋体" w:cs="宋体"/>
                <w:kern w:val="0"/>
                <w:sz w:val="22"/>
                <w:lang w:eastAsia="zh-CN"/>
              </w:rPr>
              <w:t>国有企业、集体企业、股份合作企业、联营企业、有限责任公司、股份有限公司、私营企业</w:t>
            </w:r>
          </w:p>
        </w:tc>
        <w:tc>
          <w:tcPr>
            <w:tcW w:w="360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kern w:val="0"/>
                <w:sz w:val="22"/>
                <w:szCs w:val="22"/>
                <w:lang w:val="en-US" w:eastAsia="zh-CN" w:bidi="ar-SA"/>
              </w:rPr>
            </w:pPr>
            <w:r>
              <w:rPr>
                <w:rFonts w:hint="eastAsia" w:ascii="宋体" w:hAnsi="宋体" w:cs="宋体"/>
                <w:kern w:val="0"/>
                <w:sz w:val="22"/>
                <w:lang w:eastAsia="zh-CN"/>
              </w:rPr>
              <w:t>发电企业参与范围为示范区内统调统分水电企业。用电企业为川府发【</w:t>
            </w:r>
            <w:r>
              <w:rPr>
                <w:rFonts w:hint="eastAsia" w:ascii="宋体" w:hAnsi="宋体" w:cs="宋体"/>
                <w:kern w:val="0"/>
                <w:sz w:val="22"/>
                <w:lang w:val="en-US" w:eastAsia="zh-CN"/>
              </w:rPr>
              <w:t>2018】26号文件印发后新增的工业企业（含存量工业企业单独装表的扩建产能），不包括示范区所在市（州）境内转移搬迁企业和高耗能企业，示范区所在市（州）应将符合条件的清洁绿色低碳优势产业项目优先纳入水电消纳产业示范区政策支持范围。具体名单实行“一年一定”。</w:t>
            </w:r>
          </w:p>
        </w:tc>
        <w:tc>
          <w:tcPr>
            <w:tcW w:w="782"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依申请事项</w:t>
            </w:r>
          </w:p>
        </w:tc>
        <w:tc>
          <w:tcPr>
            <w:tcW w:w="1149"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钒钛高新区科技创新和经济发展局</w:t>
            </w:r>
          </w:p>
        </w:tc>
        <w:tc>
          <w:tcPr>
            <w:tcW w:w="10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刘小驰</w:t>
            </w:r>
          </w:p>
        </w:tc>
        <w:tc>
          <w:tcPr>
            <w:tcW w:w="15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ascii="宋体" w:hAnsi="宋体" w:eastAsia="宋体" w:cs="宋体"/>
                <w:kern w:val="0"/>
                <w:sz w:val="22"/>
                <w:szCs w:val="22"/>
                <w:lang w:val="en-US" w:eastAsia="zh-CN" w:bidi="ar-SA"/>
              </w:rPr>
            </w:pPr>
            <w:r>
              <w:rPr>
                <w:rFonts w:hint="eastAsia" w:ascii="宋体" w:hAnsi="宋体" w:cs="宋体"/>
                <w:kern w:val="0"/>
                <w:sz w:val="22"/>
                <w:lang w:val="en-US" w:eastAsia="zh-CN"/>
              </w:rPr>
              <w:t>13882398115</w:t>
            </w:r>
          </w:p>
        </w:tc>
        <w:tc>
          <w:tcPr>
            <w:tcW w:w="787" w:type="dxa"/>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680" w:type="dxa"/>
            <w:vAlign w:val="center"/>
          </w:tcPr>
          <w:p>
            <w:pPr>
              <w:widowControl/>
              <w:jc w:val="center"/>
              <w:rPr>
                <w:rFonts w:ascii="宋体" w:hAnsi="宋体" w:cs="宋体"/>
                <w:kern w:val="0"/>
                <w:sz w:val="22"/>
              </w:rPr>
            </w:pPr>
            <w:r>
              <w:rPr>
                <w:rFonts w:hint="eastAsia" w:ascii="宋体" w:hAnsi="宋体" w:cs="宋体"/>
                <w:kern w:val="0"/>
                <w:sz w:val="22"/>
              </w:rPr>
              <w:t>3</w:t>
            </w:r>
          </w:p>
        </w:tc>
        <w:tc>
          <w:tcPr>
            <w:tcW w:w="1210"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省级工业发展专项资金</w:t>
            </w:r>
          </w:p>
        </w:tc>
        <w:tc>
          <w:tcPr>
            <w:tcW w:w="75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专项资金</w:t>
            </w:r>
          </w:p>
        </w:tc>
        <w:tc>
          <w:tcPr>
            <w:tcW w:w="2163"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kern w:val="0"/>
                <w:sz w:val="22"/>
                <w:szCs w:val="22"/>
                <w:lang w:val="en-US" w:eastAsia="zh-CN" w:bidi="ar-SA"/>
              </w:rPr>
            </w:pPr>
            <w:r>
              <w:rPr>
                <w:rFonts w:hint="eastAsia" w:ascii="宋体" w:hAnsi="宋体" w:cs="宋体"/>
                <w:kern w:val="0"/>
                <w:sz w:val="22"/>
                <w:lang w:eastAsia="zh-CN"/>
              </w:rPr>
              <w:t>川财建【</w:t>
            </w:r>
            <w:r>
              <w:rPr>
                <w:rFonts w:hint="eastAsia" w:ascii="宋体" w:hAnsi="宋体" w:cs="宋体"/>
                <w:kern w:val="0"/>
                <w:sz w:val="22"/>
                <w:lang w:val="en-US" w:eastAsia="zh-CN"/>
              </w:rPr>
              <w:t>2019】296号 四川省财政厅 四川省经济和信息化厅关于印发《四川省工业发展专项资金管理办法》的通知</w:t>
            </w:r>
          </w:p>
        </w:tc>
        <w:tc>
          <w:tcPr>
            <w:tcW w:w="878"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制造业</w:t>
            </w:r>
          </w:p>
        </w:tc>
        <w:tc>
          <w:tcPr>
            <w:tcW w:w="360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kern w:val="0"/>
                <w:sz w:val="22"/>
                <w:szCs w:val="22"/>
                <w:lang w:val="en-US" w:eastAsia="zh-CN" w:bidi="ar-SA"/>
              </w:rPr>
            </w:pPr>
            <w:r>
              <w:rPr>
                <w:rFonts w:hint="eastAsia" w:ascii="宋体" w:hAnsi="宋体" w:cs="宋体"/>
                <w:kern w:val="0"/>
                <w:sz w:val="22"/>
                <w:lang w:eastAsia="zh-CN"/>
              </w:rPr>
              <w:t>重大产业培育、重大布局优化调整、重大技术升级改造、重大创新研发平台打造，围绕“</w:t>
            </w:r>
            <w:r>
              <w:rPr>
                <w:rFonts w:hint="eastAsia" w:ascii="宋体" w:hAnsi="宋体" w:cs="宋体"/>
                <w:kern w:val="0"/>
                <w:sz w:val="22"/>
                <w:lang w:val="en-US" w:eastAsia="zh-CN"/>
              </w:rPr>
              <w:t>5+1”工业体系的重点产业化项目、技术改造项目、技术创新项目、产业园区项目。具体申报条件以每年通知为准。</w:t>
            </w:r>
          </w:p>
        </w:tc>
        <w:tc>
          <w:tcPr>
            <w:tcW w:w="782"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依申请事项</w:t>
            </w:r>
          </w:p>
        </w:tc>
        <w:tc>
          <w:tcPr>
            <w:tcW w:w="1149"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ascii="宋体" w:hAnsi="宋体" w:eastAsia="宋体" w:cs="宋体"/>
                <w:kern w:val="0"/>
                <w:sz w:val="22"/>
                <w:szCs w:val="22"/>
                <w:lang w:val="en-US" w:eastAsia="zh-CN" w:bidi="ar-SA"/>
              </w:rPr>
            </w:pPr>
            <w:r>
              <w:rPr>
                <w:rFonts w:hint="eastAsia" w:ascii="宋体" w:hAnsi="宋体" w:cs="宋体"/>
                <w:kern w:val="0"/>
                <w:sz w:val="22"/>
                <w:lang w:eastAsia="zh-CN"/>
              </w:rPr>
              <w:t>钒钛高新区科技创新和经济发展局</w:t>
            </w:r>
          </w:p>
        </w:tc>
        <w:tc>
          <w:tcPr>
            <w:tcW w:w="10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eastAsia="zh-CN"/>
              </w:rPr>
            </w:pPr>
            <w:r>
              <w:rPr>
                <w:rFonts w:hint="eastAsia" w:ascii="宋体" w:hAnsi="宋体" w:cs="宋体"/>
                <w:kern w:val="0"/>
                <w:sz w:val="22"/>
                <w:lang w:eastAsia="zh-CN"/>
              </w:rPr>
              <w:t>王</w:t>
            </w:r>
            <w:r>
              <w:rPr>
                <w:rFonts w:hint="eastAsia" w:ascii="宋体" w:hAnsi="宋体" w:cs="宋体"/>
                <w:kern w:val="0"/>
                <w:sz w:val="22"/>
                <w:lang w:val="en-US" w:eastAsia="zh-CN"/>
              </w:rPr>
              <w:t xml:space="preserve">  </w:t>
            </w:r>
            <w:r>
              <w:rPr>
                <w:rFonts w:hint="eastAsia" w:ascii="宋体" w:hAnsi="宋体" w:cs="宋体"/>
                <w:kern w:val="0"/>
                <w:sz w:val="22"/>
                <w:lang w:eastAsia="zh-CN"/>
              </w:rPr>
              <w:t>瑜</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杨雪梅</w:t>
            </w:r>
          </w:p>
        </w:tc>
        <w:tc>
          <w:tcPr>
            <w:tcW w:w="15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val="en-US" w:eastAsia="zh-CN"/>
              </w:rPr>
            </w:pPr>
            <w:r>
              <w:rPr>
                <w:rFonts w:hint="eastAsia" w:ascii="宋体" w:hAnsi="宋体" w:cs="宋体"/>
                <w:kern w:val="0"/>
                <w:sz w:val="22"/>
                <w:lang w:val="en-US" w:eastAsia="zh-CN"/>
              </w:rPr>
              <w:t>18089592816</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kern w:val="0"/>
                <w:sz w:val="22"/>
                <w:szCs w:val="22"/>
                <w:lang w:val="en-US" w:eastAsia="zh-CN" w:bidi="ar-SA"/>
              </w:rPr>
            </w:pPr>
            <w:r>
              <w:rPr>
                <w:rFonts w:hint="eastAsia" w:ascii="宋体" w:hAnsi="宋体" w:cs="宋体"/>
                <w:kern w:val="0"/>
                <w:sz w:val="22"/>
                <w:lang w:val="en-US" w:eastAsia="zh-CN"/>
              </w:rPr>
              <w:t>15281220647</w:t>
            </w:r>
          </w:p>
        </w:tc>
        <w:tc>
          <w:tcPr>
            <w:tcW w:w="787" w:type="dxa"/>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680" w:type="dxa"/>
            <w:vAlign w:val="center"/>
          </w:tcPr>
          <w:p>
            <w:pPr>
              <w:widowControl/>
              <w:jc w:val="center"/>
              <w:rPr>
                <w:rFonts w:hint="eastAsia" w:ascii="宋体" w:hAnsi="宋体" w:cs="宋体"/>
                <w:kern w:val="0"/>
                <w:sz w:val="22"/>
              </w:rPr>
            </w:pPr>
          </w:p>
        </w:tc>
        <w:tc>
          <w:tcPr>
            <w:tcW w:w="1210"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中小企业发展专项资金</w:t>
            </w:r>
          </w:p>
        </w:tc>
        <w:tc>
          <w:tcPr>
            <w:tcW w:w="75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专项资金</w:t>
            </w:r>
          </w:p>
        </w:tc>
        <w:tc>
          <w:tcPr>
            <w:tcW w:w="2163"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川财企【</w:t>
            </w:r>
            <w:r>
              <w:rPr>
                <w:rFonts w:hint="eastAsia" w:ascii="宋体" w:hAnsi="宋体" w:cs="宋体"/>
                <w:kern w:val="0"/>
                <w:sz w:val="22"/>
                <w:lang w:val="en-US" w:eastAsia="zh-CN"/>
              </w:rPr>
              <w:t>2017】4号 四川省财政厅 四川省经济和信息化委员会 四川省科学技术厅关于印发《四川省中小企业发展专项资金管理暂行办法》的通知</w:t>
            </w:r>
          </w:p>
        </w:tc>
        <w:tc>
          <w:tcPr>
            <w:tcW w:w="878"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中小企业</w:t>
            </w:r>
          </w:p>
        </w:tc>
        <w:tc>
          <w:tcPr>
            <w:tcW w:w="360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中小企业提升发展能力、完善服务体系、支持科技创新的项目。</w:t>
            </w:r>
            <w:r>
              <w:rPr>
                <w:rFonts w:hint="eastAsia" w:ascii="宋体" w:hAnsi="宋体" w:cs="宋体"/>
                <w:kern w:val="0"/>
                <w:sz w:val="22"/>
                <w:lang w:val="en-US" w:eastAsia="zh-CN"/>
              </w:rPr>
              <w:t>具体申报条件以每年通知为准。</w:t>
            </w:r>
          </w:p>
        </w:tc>
        <w:tc>
          <w:tcPr>
            <w:tcW w:w="782"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依申请事项</w:t>
            </w:r>
          </w:p>
        </w:tc>
        <w:tc>
          <w:tcPr>
            <w:tcW w:w="1149"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钒钛高新区科技创新和经济发展局</w:t>
            </w:r>
          </w:p>
        </w:tc>
        <w:tc>
          <w:tcPr>
            <w:tcW w:w="10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eastAsia="zh-CN"/>
              </w:rPr>
            </w:pPr>
            <w:r>
              <w:rPr>
                <w:rFonts w:hint="eastAsia" w:ascii="宋体" w:hAnsi="宋体" w:cs="宋体"/>
                <w:kern w:val="0"/>
                <w:sz w:val="22"/>
                <w:lang w:eastAsia="zh-CN"/>
              </w:rPr>
              <w:t>王</w:t>
            </w:r>
            <w:r>
              <w:rPr>
                <w:rFonts w:hint="eastAsia" w:ascii="宋体" w:hAnsi="宋体" w:cs="宋体"/>
                <w:kern w:val="0"/>
                <w:sz w:val="22"/>
                <w:lang w:val="en-US" w:eastAsia="zh-CN"/>
              </w:rPr>
              <w:t xml:space="preserve">  </w:t>
            </w:r>
            <w:r>
              <w:rPr>
                <w:rFonts w:hint="eastAsia" w:ascii="宋体" w:hAnsi="宋体" w:cs="宋体"/>
                <w:kern w:val="0"/>
                <w:sz w:val="22"/>
                <w:lang w:eastAsia="zh-CN"/>
              </w:rPr>
              <w:t>瑜</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杨雪梅</w:t>
            </w:r>
          </w:p>
        </w:tc>
        <w:tc>
          <w:tcPr>
            <w:tcW w:w="15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val="en-US" w:eastAsia="zh-CN"/>
              </w:rPr>
            </w:pPr>
            <w:r>
              <w:rPr>
                <w:rFonts w:hint="eastAsia" w:ascii="宋体" w:hAnsi="宋体" w:cs="宋体"/>
                <w:kern w:val="0"/>
                <w:sz w:val="22"/>
                <w:lang w:val="en-US" w:eastAsia="zh-CN"/>
              </w:rPr>
              <w:t>18089592816</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15281220647</w:t>
            </w:r>
          </w:p>
        </w:tc>
        <w:tc>
          <w:tcPr>
            <w:tcW w:w="787" w:type="dxa"/>
            <w:vAlign w:val="center"/>
          </w:tcPr>
          <w:p>
            <w:pPr>
              <w:widowControl/>
              <w:jc w:val="left"/>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680" w:type="dxa"/>
            <w:vAlign w:val="center"/>
          </w:tcPr>
          <w:p>
            <w:pPr>
              <w:widowControl/>
              <w:jc w:val="center"/>
              <w:rPr>
                <w:rFonts w:hint="eastAsia" w:ascii="宋体" w:hAnsi="宋体" w:cs="宋体"/>
                <w:kern w:val="0"/>
                <w:sz w:val="22"/>
              </w:rPr>
            </w:pPr>
          </w:p>
        </w:tc>
        <w:tc>
          <w:tcPr>
            <w:tcW w:w="1210"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制造业企业“贡嘎培优”</w:t>
            </w:r>
          </w:p>
        </w:tc>
        <w:tc>
          <w:tcPr>
            <w:tcW w:w="75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企业培育</w:t>
            </w:r>
          </w:p>
        </w:tc>
        <w:tc>
          <w:tcPr>
            <w:tcW w:w="2163"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val="en-US" w:eastAsia="zh-CN"/>
              </w:rPr>
            </w:pPr>
            <w:r>
              <w:rPr>
                <w:rFonts w:hint="eastAsia" w:ascii="宋体" w:hAnsi="宋体" w:cs="宋体"/>
                <w:kern w:val="0"/>
                <w:sz w:val="22"/>
                <w:lang w:val="en-US" w:eastAsia="zh-CN"/>
              </w:rPr>
              <w:t>川经信企业【2021】262号 四川省经信厅关于印发《四川省制造业“贡嘎培优”企业认定及服务办法》的通知</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p>
        </w:tc>
        <w:tc>
          <w:tcPr>
            <w:tcW w:w="878"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“16+1”等重点产业领域</w:t>
            </w:r>
          </w:p>
        </w:tc>
        <w:tc>
          <w:tcPr>
            <w:tcW w:w="360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rPr>
            </w:pPr>
            <w:r>
              <w:rPr>
                <w:rFonts w:hint="eastAsia" w:ascii="宋体" w:hAnsi="宋体" w:cs="宋体"/>
                <w:kern w:val="0"/>
                <w:sz w:val="22"/>
              </w:rPr>
              <w:t>（一）申报企业在四川省行政区域内依法注册登记，连续经营1年及以上，发展战略清晰，有健全的企业管理制度、经营管理团队，生产经营状况良好。属于“16+1”等重点产业领域，战略性新兴产业、高新技术产业、新经济领域以及绿色低碳优势产业的企业。</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rPr>
            </w:pPr>
            <w:r>
              <w:rPr>
                <w:rFonts w:hint="eastAsia" w:ascii="宋体" w:hAnsi="宋体" w:cs="宋体"/>
                <w:kern w:val="0"/>
                <w:sz w:val="22"/>
              </w:rPr>
              <w:t>（二）申报企业上一年度营业收入10亿元及以上。到2025年预计营业收入至少实现翻倍的企业。</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rPr>
            </w:pPr>
            <w:r>
              <w:rPr>
                <w:rFonts w:hint="eastAsia" w:ascii="宋体" w:hAnsi="宋体" w:cs="宋体"/>
                <w:kern w:val="0"/>
                <w:sz w:val="22"/>
              </w:rPr>
              <w:t>（三）申报企业上一年度研发经费支出占比超过全省规上工业企业平均水平。到2025年预计研发经费支出金额至少实现翻倍且研发经费支出占比超过2%，同时研发经费支出占比不得低于当年申报期水平的企业。</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rPr>
            </w:pPr>
            <w:r>
              <w:rPr>
                <w:rFonts w:hint="eastAsia" w:ascii="宋体" w:hAnsi="宋体" w:cs="宋体"/>
                <w:kern w:val="0"/>
                <w:sz w:val="22"/>
              </w:rPr>
              <w:t>（四）申报企业已经获批或者预计能够获批国家级、省级绿色工厂、绿色供应链、零碳工厂等绿色称号的企业（信息传输、软件和信息技术服务业除外）。</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rPr>
            </w:pPr>
            <w:r>
              <w:rPr>
                <w:rFonts w:hint="eastAsia" w:ascii="宋体" w:hAnsi="宋体" w:cs="宋体"/>
                <w:kern w:val="0"/>
                <w:sz w:val="22"/>
              </w:rPr>
              <w:t>（五）申报企业原则上要有明晰的市场拓展、投融资或兼并重组计划。积极支持有资本市场融资计划，已获得直接融资（含获得天使投资、风险投资、私募投资，实现债券融资、资产证券化融资等）的企业。</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rPr>
            </w:pPr>
            <w:r>
              <w:rPr>
                <w:rFonts w:hint="eastAsia" w:ascii="宋体" w:hAnsi="宋体" w:cs="宋体"/>
                <w:kern w:val="0"/>
                <w:sz w:val="22"/>
              </w:rPr>
              <w:t>（六）申报企业近3年以来没有发生重特大环境、安全生产、质量等事故（事件）。</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p>
        </w:tc>
        <w:tc>
          <w:tcPr>
            <w:tcW w:w="782"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依申请事项</w:t>
            </w:r>
          </w:p>
        </w:tc>
        <w:tc>
          <w:tcPr>
            <w:tcW w:w="1149"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钒钛高新区科技创新和经济发展局</w:t>
            </w:r>
          </w:p>
        </w:tc>
        <w:tc>
          <w:tcPr>
            <w:tcW w:w="10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王瑜</w:t>
            </w:r>
          </w:p>
        </w:tc>
        <w:tc>
          <w:tcPr>
            <w:tcW w:w="15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18089592816</w:t>
            </w:r>
          </w:p>
        </w:tc>
        <w:tc>
          <w:tcPr>
            <w:tcW w:w="787" w:type="dxa"/>
            <w:vAlign w:val="center"/>
          </w:tcPr>
          <w:p>
            <w:pPr>
              <w:widowControl/>
              <w:jc w:val="left"/>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680" w:type="dxa"/>
            <w:vAlign w:val="center"/>
          </w:tcPr>
          <w:p>
            <w:pPr>
              <w:widowControl/>
              <w:jc w:val="center"/>
              <w:rPr>
                <w:rFonts w:hint="eastAsia" w:ascii="宋体" w:hAnsi="宋体" w:cs="宋体"/>
                <w:kern w:val="0"/>
                <w:sz w:val="22"/>
              </w:rPr>
            </w:pPr>
          </w:p>
        </w:tc>
        <w:tc>
          <w:tcPr>
            <w:tcW w:w="1210"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激励工业领域大企业大集团跨越发展</w:t>
            </w:r>
          </w:p>
        </w:tc>
        <w:tc>
          <w:tcPr>
            <w:tcW w:w="75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企业培育</w:t>
            </w:r>
          </w:p>
        </w:tc>
        <w:tc>
          <w:tcPr>
            <w:tcW w:w="2163"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w:t>
            </w:r>
            <w:r>
              <w:rPr>
                <w:rFonts w:hint="default" w:ascii="宋体" w:hAnsi="宋体" w:eastAsia="宋体" w:cs="宋体"/>
                <w:kern w:val="0"/>
                <w:sz w:val="22"/>
                <w:lang w:val="en-US" w:eastAsia="zh-CN"/>
              </w:rPr>
              <w:t>四川省激励工业领域大企业大集团跨越发展暂行办法</w:t>
            </w:r>
            <w:r>
              <w:rPr>
                <w:rFonts w:hint="eastAsia" w:ascii="宋体" w:hAnsi="宋体" w:cs="宋体"/>
                <w:kern w:val="0"/>
                <w:sz w:val="22"/>
                <w:lang w:val="en-US" w:eastAsia="zh-CN"/>
              </w:rPr>
              <w:t>》</w:t>
            </w:r>
          </w:p>
        </w:tc>
        <w:tc>
          <w:tcPr>
            <w:tcW w:w="878"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工业企业</w:t>
            </w:r>
          </w:p>
        </w:tc>
        <w:tc>
          <w:tcPr>
            <w:tcW w:w="360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（一）主营业务符合国家和省产业规划发展方向。</w:t>
            </w:r>
            <w:r>
              <w:rPr>
                <w:rFonts w:hint="eastAsia" w:ascii="宋体" w:hAnsi="宋体" w:cs="宋体"/>
                <w:kern w:val="0"/>
                <w:sz w:val="22"/>
                <w:lang w:val="en-US" w:eastAsia="zh-CN"/>
              </w:rPr>
              <w:br w:type="textWrapping"/>
            </w:r>
            <w:r>
              <w:rPr>
                <w:rFonts w:hint="eastAsia" w:ascii="宋体" w:hAnsi="宋体" w:cs="宋体"/>
                <w:kern w:val="0"/>
                <w:sz w:val="22"/>
                <w:lang w:val="en-US" w:eastAsia="zh-CN"/>
              </w:rPr>
              <w:t>（二）具有独立法人资格的工业领域企业（集团），包括其合并报表中的全资子公司、全资分公司及控股公司；符合国家大型企业划型标准。</w:t>
            </w:r>
            <w:r>
              <w:rPr>
                <w:rFonts w:hint="eastAsia" w:ascii="宋体" w:hAnsi="宋体" w:cs="宋体"/>
                <w:kern w:val="0"/>
                <w:sz w:val="22"/>
                <w:lang w:val="en-US" w:eastAsia="zh-CN"/>
              </w:rPr>
              <w:br w:type="textWrapping"/>
            </w:r>
            <w:r>
              <w:rPr>
                <w:rFonts w:hint="eastAsia" w:ascii="宋体" w:hAnsi="宋体" w:cs="宋体"/>
                <w:kern w:val="0"/>
                <w:sz w:val="22"/>
                <w:lang w:val="en-US" w:eastAsia="zh-CN"/>
              </w:rPr>
              <w:t>（三）企业（集团）中工业领域营业收入占全部营业收入比重不低于30%且工业领域为重要板块。</w:t>
            </w:r>
            <w:r>
              <w:rPr>
                <w:rFonts w:hint="eastAsia" w:ascii="宋体" w:hAnsi="宋体" w:cs="宋体"/>
                <w:kern w:val="0"/>
                <w:sz w:val="22"/>
                <w:lang w:val="en-US" w:eastAsia="zh-CN"/>
              </w:rPr>
              <w:br w:type="textWrapping"/>
            </w:r>
            <w:r>
              <w:rPr>
                <w:rFonts w:hint="eastAsia" w:ascii="宋体" w:hAnsi="宋体" w:cs="宋体"/>
                <w:kern w:val="0"/>
                <w:sz w:val="22"/>
                <w:lang w:val="en-US" w:eastAsia="zh-CN"/>
              </w:rPr>
              <w:t>（四）依法合规经营，依法纳税，如实提供第三方会计师事务所出具的完整审计报告等数据资料。</w:t>
            </w:r>
            <w:r>
              <w:rPr>
                <w:rFonts w:hint="eastAsia" w:ascii="宋体" w:hAnsi="宋体" w:cs="宋体"/>
                <w:kern w:val="0"/>
                <w:sz w:val="22"/>
                <w:lang w:val="en-US" w:eastAsia="zh-CN"/>
              </w:rPr>
              <w:br w:type="textWrapping"/>
            </w:r>
            <w:r>
              <w:rPr>
                <w:rFonts w:hint="eastAsia" w:ascii="宋体" w:hAnsi="宋体" w:cs="宋体"/>
                <w:kern w:val="0"/>
                <w:sz w:val="22"/>
                <w:lang w:val="en-US" w:eastAsia="zh-CN"/>
              </w:rPr>
              <w:t>（五）履行社会责任、信用良好。申报主体在近两年无重特大群体性事件、重特大质量事故、重大及以上安全生产事故、重大及以上环境污染事件；无欠缴社会保险费用；无逾期不良贷款；无严重统计违法行为。申报主体未被列入“信用中国”网上公布的“失信黑名单”和“重点关注名单”；未被列入“国家企业信用信息公示系统”中“经营异常名录”和“严重违法失信企业名单”。</w:t>
            </w:r>
          </w:p>
        </w:tc>
        <w:tc>
          <w:tcPr>
            <w:tcW w:w="782"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依申请事项</w:t>
            </w:r>
          </w:p>
        </w:tc>
        <w:tc>
          <w:tcPr>
            <w:tcW w:w="1149"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钒钛高新区科技创新和经济发展局</w:t>
            </w:r>
          </w:p>
        </w:tc>
        <w:tc>
          <w:tcPr>
            <w:tcW w:w="10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eastAsia="zh-CN"/>
              </w:rPr>
              <w:t>杨雪梅</w:t>
            </w:r>
          </w:p>
        </w:tc>
        <w:tc>
          <w:tcPr>
            <w:tcW w:w="15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15281220647</w:t>
            </w:r>
          </w:p>
        </w:tc>
        <w:tc>
          <w:tcPr>
            <w:tcW w:w="787" w:type="dxa"/>
            <w:vAlign w:val="center"/>
          </w:tcPr>
          <w:p>
            <w:pPr>
              <w:widowControl/>
              <w:jc w:val="left"/>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6" w:hRule="atLeast"/>
        </w:trPr>
        <w:tc>
          <w:tcPr>
            <w:tcW w:w="680" w:type="dxa"/>
            <w:vAlign w:val="center"/>
          </w:tcPr>
          <w:p>
            <w:pPr>
              <w:widowControl/>
              <w:jc w:val="center"/>
              <w:rPr>
                <w:rFonts w:hint="eastAsia" w:ascii="宋体" w:hAnsi="宋体" w:cs="宋体"/>
                <w:kern w:val="0"/>
                <w:sz w:val="22"/>
              </w:rPr>
            </w:pPr>
          </w:p>
        </w:tc>
        <w:tc>
          <w:tcPr>
            <w:tcW w:w="1210"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val="en-US" w:eastAsia="zh-CN"/>
              </w:rPr>
            </w:pPr>
            <w:r>
              <w:rPr>
                <w:rFonts w:hint="eastAsia" w:ascii="宋体" w:hAnsi="宋体" w:cs="宋体"/>
                <w:kern w:val="0"/>
                <w:sz w:val="22"/>
                <w:lang w:val="en-US" w:eastAsia="zh-CN"/>
              </w:rPr>
              <w:t>高企认定奖补</w:t>
            </w:r>
          </w:p>
        </w:tc>
        <w:tc>
          <w:tcPr>
            <w:tcW w:w="75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eastAsia="zh-CN"/>
              </w:rPr>
            </w:pPr>
            <w:r>
              <w:rPr>
                <w:rFonts w:hint="eastAsia" w:ascii="宋体" w:hAnsi="宋体" w:cs="宋体"/>
                <w:kern w:val="0"/>
                <w:sz w:val="22"/>
                <w:lang w:eastAsia="zh-CN"/>
              </w:rPr>
              <w:t>创新</w:t>
            </w:r>
          </w:p>
        </w:tc>
        <w:tc>
          <w:tcPr>
            <w:tcW w:w="2163"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val="en-US" w:eastAsia="zh-CN"/>
              </w:rPr>
            </w:pPr>
            <w:r>
              <w:rPr>
                <w:rFonts w:hint="eastAsia" w:ascii="宋体" w:hAnsi="宋体" w:cs="宋体"/>
                <w:kern w:val="0"/>
                <w:sz w:val="22"/>
                <w:lang w:val="en-US" w:eastAsia="zh-CN"/>
              </w:rPr>
              <w:t>《攀枝花市科技创新政策六条》《攀枝花市科技创新政策六条实施细则》</w:t>
            </w:r>
          </w:p>
        </w:tc>
        <w:tc>
          <w:tcPr>
            <w:tcW w:w="878"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val="en-US" w:eastAsia="zh-CN"/>
              </w:rPr>
            </w:pPr>
            <w:r>
              <w:rPr>
                <w:rFonts w:hint="eastAsia" w:ascii="宋体" w:hAnsi="宋体" w:cs="宋体"/>
                <w:kern w:val="0"/>
                <w:sz w:val="22"/>
                <w:lang w:val="en-US" w:eastAsia="zh-CN"/>
              </w:rPr>
              <w:t>所有企业</w:t>
            </w:r>
          </w:p>
        </w:tc>
        <w:tc>
          <w:tcPr>
            <w:tcW w:w="3606"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both"/>
              <w:textAlignment w:val="auto"/>
              <w:rPr>
                <w:rFonts w:hint="eastAsia" w:ascii="宋体" w:hAnsi="宋体" w:cs="宋体"/>
                <w:kern w:val="0"/>
                <w:sz w:val="22"/>
                <w:lang w:val="en-US" w:eastAsia="zh-CN"/>
              </w:rPr>
            </w:pPr>
            <w:r>
              <w:rPr>
                <w:rFonts w:hint="eastAsia" w:ascii="宋体" w:hAnsi="宋体" w:cs="宋体"/>
                <w:kern w:val="0"/>
                <w:sz w:val="22"/>
                <w:lang w:val="en-US" w:eastAsia="zh-CN"/>
              </w:rPr>
              <w:t>1.注册地在攀枝花，2020年4月28日之后通过认定的国家高新技术企业；</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both"/>
              <w:textAlignment w:val="auto"/>
              <w:rPr>
                <w:rFonts w:hint="eastAsia" w:ascii="宋体" w:hAnsi="宋体" w:cs="宋体"/>
                <w:kern w:val="0"/>
                <w:sz w:val="22"/>
                <w:lang w:val="en-US" w:eastAsia="zh-CN"/>
              </w:rPr>
            </w:pPr>
            <w:r>
              <w:rPr>
                <w:rFonts w:hint="eastAsia" w:ascii="宋体" w:hAnsi="宋体" w:cs="宋体"/>
                <w:kern w:val="0"/>
                <w:sz w:val="22"/>
                <w:lang w:val="en-US" w:eastAsia="zh-CN"/>
              </w:rPr>
              <w:t>2.按照要求参加火炬统计。</w:t>
            </w:r>
          </w:p>
        </w:tc>
        <w:tc>
          <w:tcPr>
            <w:tcW w:w="782"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eastAsia="zh-CN"/>
              </w:rPr>
            </w:pPr>
            <w:r>
              <w:rPr>
                <w:rFonts w:hint="eastAsia" w:ascii="宋体" w:hAnsi="宋体" w:cs="宋体"/>
                <w:kern w:val="0"/>
                <w:sz w:val="22"/>
                <w:lang w:eastAsia="zh-CN"/>
              </w:rPr>
              <w:t>依申请事项</w:t>
            </w:r>
          </w:p>
        </w:tc>
        <w:tc>
          <w:tcPr>
            <w:tcW w:w="1149"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eastAsia="zh-CN"/>
              </w:rPr>
            </w:pPr>
            <w:r>
              <w:rPr>
                <w:rFonts w:hint="eastAsia" w:ascii="宋体" w:hAnsi="宋体" w:cs="宋体"/>
                <w:kern w:val="0"/>
                <w:sz w:val="22"/>
                <w:lang w:eastAsia="zh-CN"/>
              </w:rPr>
              <w:t>钒钛高新区科技创新和经济发展局</w:t>
            </w:r>
          </w:p>
        </w:tc>
        <w:tc>
          <w:tcPr>
            <w:tcW w:w="10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kern w:val="0"/>
                <w:sz w:val="22"/>
                <w:lang w:eastAsia="zh-CN"/>
              </w:rPr>
            </w:pPr>
            <w:r>
              <w:rPr>
                <w:rFonts w:hint="eastAsia" w:ascii="宋体" w:hAnsi="宋体" w:cs="宋体"/>
                <w:kern w:val="0"/>
                <w:sz w:val="22"/>
                <w:lang w:eastAsia="zh-CN"/>
              </w:rPr>
              <w:t>余斌</w:t>
            </w:r>
          </w:p>
        </w:tc>
        <w:tc>
          <w:tcPr>
            <w:tcW w:w="1527" w:type="dxa"/>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cs="宋体"/>
                <w:kern w:val="0"/>
                <w:sz w:val="22"/>
                <w:lang w:val="en-US" w:eastAsia="zh-CN"/>
              </w:rPr>
            </w:pPr>
            <w:r>
              <w:rPr>
                <w:rFonts w:hint="eastAsia" w:ascii="宋体" w:hAnsi="宋体" w:cs="宋体"/>
                <w:kern w:val="0"/>
                <w:sz w:val="22"/>
                <w:lang w:val="en-US" w:eastAsia="zh-CN"/>
              </w:rPr>
              <w:t>13551749381</w:t>
            </w:r>
          </w:p>
        </w:tc>
        <w:tc>
          <w:tcPr>
            <w:tcW w:w="787" w:type="dxa"/>
            <w:vAlign w:val="center"/>
          </w:tcPr>
          <w:p>
            <w:pPr>
              <w:widowControl/>
              <w:jc w:val="left"/>
              <w:rPr>
                <w:rFonts w:hint="eastAsia" w:ascii="宋体" w:hAnsi="宋体" w:cs="宋体"/>
                <w:kern w:val="0"/>
                <w:sz w:val="22"/>
              </w:rPr>
            </w:pPr>
          </w:p>
        </w:tc>
      </w:tr>
    </w:tbl>
    <w:p>
      <w:pPr>
        <w:widowControl/>
        <w:numPr>
          <w:ilvl w:val="0"/>
          <w:numId w:val="0"/>
        </w:numPr>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F49A4"/>
    <w:rsid w:val="32543E00"/>
    <w:rsid w:val="3D6AF8E2"/>
    <w:rsid w:val="6C792730"/>
    <w:rsid w:val="6F7F91DC"/>
    <w:rsid w:val="7CAFF209"/>
    <w:rsid w:val="7DDF2871"/>
    <w:rsid w:val="7DE5A3B7"/>
    <w:rsid w:val="8BBF0CB9"/>
    <w:rsid w:val="9A2F51E7"/>
    <w:rsid w:val="9EEAC417"/>
    <w:rsid w:val="ABEF34ED"/>
    <w:rsid w:val="AEFA2B40"/>
    <w:rsid w:val="F4FA5127"/>
    <w:rsid w:val="FDBB1809"/>
    <w:rsid w:val="FFEF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semiHidden/>
    <w:qFormat/>
    <w:uiPriority w:val="0"/>
    <w:pPr>
      <w:tabs>
        <w:tab w:val="center" w:pos="4153"/>
        <w:tab w:val="right" w:pos="8306"/>
      </w:tabs>
      <w:snapToGrid w:val="0"/>
      <w:jc w:val="left"/>
    </w:pPr>
    <w:rPr>
      <w:sz w:val="18"/>
      <w:szCs w:val="18"/>
    </w:rPr>
  </w:style>
  <w:style w:type="character" w:customStyle="1" w:styleId="6">
    <w:name w:val="fontstyle01"/>
    <w:basedOn w:val="5"/>
    <w:qFormat/>
    <w:uiPriority w:val="0"/>
    <w:rPr>
      <w:rFonts w:hint="eastAsia" w:ascii="方正小标宋_GBK" w:eastAsia="方正小标宋_GBK"/>
      <w:color w:val="000000"/>
      <w:sz w:val="38"/>
      <w:szCs w:val="3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user</cp:lastModifiedBy>
  <dcterms:modified xsi:type="dcterms:W3CDTF">2022-11-24T09:14:35Z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