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11" w:rsidRDefault="00ED5C11" w:rsidP="00ED5C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关于攀枝花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钒钛高新区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地方政府债务管理情况的说明</w:t>
      </w:r>
    </w:p>
    <w:p w:rsidR="00ED5C11" w:rsidRDefault="00ED5C11" w:rsidP="00ED5C1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钒钛高新区</w:t>
      </w:r>
      <w:r>
        <w:rPr>
          <w:rFonts w:ascii="Times New Roman" w:eastAsia="仿宋_GB2312" w:hAnsi="Times New Roman" w:cs="Times New Roman"/>
          <w:sz w:val="32"/>
          <w:szCs w:val="32"/>
        </w:rPr>
        <w:t>严格按照政府债务管理各项文件要求，严格执行债务限额管理、预算管理等规定，安全有效使用债券资金，使其充分发挥地方政府债券资金稳投资、扩内需、补短板的作用；同时努力筹措偿债资金，推动存量债务化解，最大限度降低和化解债务风险，牢牢守住不发生区域性、系统性风险的底线。</w:t>
      </w:r>
    </w:p>
    <w:p w:rsidR="00ED5C11" w:rsidRDefault="00ED5C11" w:rsidP="00ED5C1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年钒钛高新区金库独立运行，地方政府债务由钒钛高新区自行偿还。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钒钛高新区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债务余额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23.58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，其中一般债务余额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4.49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亿元，专项债务余额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19.09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亿元。在进行报表统计时，钒钛高新区债务限额占用市本级空间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、债务余额均并入市本级进行统计。</w:t>
      </w:r>
    </w:p>
    <w:p w:rsidR="00CF65A5" w:rsidRPr="00ED5C11" w:rsidRDefault="00ED5C11"/>
    <w:sectPr w:rsidR="00CF65A5" w:rsidRPr="00ED5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1"/>
    <w:rsid w:val="00A344C4"/>
    <w:rsid w:val="00B339A1"/>
    <w:rsid w:val="00E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2023-01-20T05:25:00Z</dcterms:created>
  <dcterms:modified xsi:type="dcterms:W3CDTF">2023-01-20T05:33:00Z</dcterms:modified>
</cp:coreProperties>
</file>