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sz w:val="38"/>
          <w:szCs w:val="38"/>
        </w:rPr>
      </w:pPr>
      <w:r>
        <w:rPr>
          <w:rFonts w:ascii="方正小标宋_GBK" w:eastAsia="方正小标宋_GBK" w:hint="eastAsia"/>
          <w:sz w:val="38"/>
          <w:szCs w:val="38"/>
        </w:rPr>
        <w:t>钒钛高新区（钒钛新城）2020年全面从严治党、党风廉政建设和反腐败工作</w:t>
      </w:r>
    </w:p>
    <w:p>
      <w:pPr>
        <w:jc w:val="center"/>
        <w:rPr>
          <w:rFonts w:ascii="方正小标宋_GBK" w:eastAsia="方正小标宋_GBK"/>
          <w:sz w:val="38"/>
          <w:szCs w:val="38"/>
        </w:rPr>
      </w:pPr>
      <w:r>
        <w:rPr>
          <w:rFonts w:ascii="方正小标宋_GBK" w:eastAsia="方正小标宋_GBK" w:hint="eastAsia"/>
          <w:sz w:val="38"/>
          <w:szCs w:val="38"/>
        </w:rPr>
        <w:t>任务分工表</w:t>
      </w:r>
    </w:p>
    <w:p>
      <w:pPr>
        <w:jc w:val="center"/>
        <w:rPr>
          <w:rFonts w:ascii="方正小标宋_GBK" w:eastAsia="方正小标宋_GBK"/>
          <w:sz w:val="38"/>
          <w:szCs w:val="38"/>
        </w:rPr>
      </w:pPr>
    </w:p>
    <w:tbl>
      <w:tblPr>
        <w:jc w:val="left"/>
        <w:tblInd w:w="-459" w:type="dxa"/>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371"/>
        <w:gridCol w:w="8017"/>
        <w:gridCol w:w="1271"/>
        <w:gridCol w:w="2111"/>
        <w:gridCol w:w="2114"/>
      </w:tblGrid>
      <w:tr>
        <w:trPr>
          <w:trHeight w:val="676"/>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vAlign w:val="center"/>
          </w:tcPr>
          <w:p>
            <w:pPr>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vAlign w:val="center"/>
          </w:tcPr>
          <w:p>
            <w:pPr>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838"/>
        </w:trPr>
        <w:tc>
          <w:tcPr>
            <w:tcW w:w="1371" w:type="dxa"/>
            <w:vMerge w:val="restart"/>
            <w:vAlign w:val="center"/>
          </w:tcPr>
          <w:p>
            <w:pPr>
              <w:autoSpaceDE w:val="0"/>
              <w:autoSpaceDN w:val="0"/>
              <w:adjustRightInd w:val="0"/>
              <w:spacing w:line="400" w:lineRule="exact"/>
              <w:jc w:val="center"/>
              <w:rPr>
                <w:rFonts w:ascii="方正仿宋_GBK" w:eastAsia="方正仿宋_GBK" w:hAnsi="仿宋"/>
                <w:kern w:val="0"/>
                <w:sz w:val="26"/>
                <w:szCs w:val="26"/>
              </w:rPr>
            </w:pPr>
          </w:p>
          <w:p>
            <w:pPr>
              <w:autoSpaceDE w:val="0"/>
              <w:autoSpaceDN w:val="0"/>
              <w:adjustRightInd w:val="0"/>
              <w:spacing w:line="400" w:lineRule="exact"/>
              <w:jc w:val="center"/>
              <w:rPr>
                <w:rFonts w:ascii="方正仿宋_GBK" w:eastAsia="方正仿宋_GBK" w:hAnsi="仿宋"/>
                <w:kern w:val="0"/>
                <w:sz w:val="26"/>
                <w:szCs w:val="26"/>
              </w:rPr>
            </w:pPr>
          </w:p>
          <w:p>
            <w:pPr>
              <w:autoSpaceDE w:val="0"/>
              <w:autoSpaceDN w:val="0"/>
              <w:adjustRightInd w:val="0"/>
              <w:spacing w:line="400" w:lineRule="exact"/>
              <w:jc w:val="center"/>
              <w:rPr>
                <w:rFonts w:ascii="方正黑体_GBK" w:eastAsia="方正黑体_GBK" w:hAnsi="仿宋"/>
                <w:kern w:val="0"/>
                <w:sz w:val="26"/>
                <w:szCs w:val="26"/>
              </w:rPr>
            </w:pPr>
            <w:r>
              <w:rPr>
                <w:rFonts w:ascii="方正黑体_GBK" w:eastAsia="方正黑体_GBK" w:hAnsi="仿宋" w:hint="eastAsia"/>
                <w:kern w:val="0"/>
                <w:sz w:val="26"/>
                <w:szCs w:val="26"/>
              </w:rPr>
              <w:t>一、牢记初心使命，坚决践行“两个维护”</w:t>
            </w:r>
          </w:p>
          <w:p>
            <w:pPr>
              <w:spacing w:line="400" w:lineRule="exact"/>
              <w:jc w:val="center"/>
              <w:rPr>
                <w:rFonts w:ascii="方正仿宋_GBK" w:eastAsia="方正仿宋_GBK" w:hAnsi="仿宋"/>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1.抓好政治理论教育，健全完善落实不忘初心、牢记使命制度，深化巩固主题教育成果。</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2.把严明政治纪律和政治规矩落实到具体的人和事，进一步严肃党内政治生活，全面加强党内政治文化建设，着力解决“袍哥”文化、圈子文化、码头文化问题。</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3.坚持中央、省委、市委决策部署到哪里，监督检查就到哪里，聚焦坚决打赢疫情防控</w:t>
            </w:r>
            <w:r>
              <w:rPr>
                <w:rFonts w:ascii="方正仿宋_GBK" w:eastAsia="方正仿宋_GBK" w:hAnsi="仿宋" w:hint="eastAsia"/>
                <w:kern w:val="0"/>
                <w:sz w:val="26"/>
                <w:szCs w:val="26"/>
                <w:lang w:eastAsia="zh-CN"/>
              </w:rPr>
              <w:t>阻</w:t>
            </w:r>
            <w:r>
              <w:rPr>
                <w:rFonts w:ascii="方正仿宋_GBK" w:eastAsia="方正仿宋_GBK" w:hAnsi="仿宋" w:hint="eastAsia"/>
                <w:kern w:val="0"/>
                <w:sz w:val="26"/>
                <w:szCs w:val="26"/>
              </w:rPr>
              <w:t>击战、加快推进钒钛新城和钒钛产业基地建设、主动融入成渝地区双城经济圈等决策部署进行监督执纪，推动钒钛高新区（钒钛新城）建设蓝图变为现实。</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周  佳</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新城建设局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711"/>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4.做好对金江镇所辖村（社区）联合延伸巡察工作，及时发现和纠正在工作中落实不力的问题。开展市委巡察反馈问题整改情况“回头看”，统筹抓好环境保护、安全生产等督察督导问题整改落实，做到贯彻落实上级决策部署不搞变通、不做选择、不打折扣，令行禁止。</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676"/>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1010"/>
        </w:trPr>
        <w:tc>
          <w:tcPr>
            <w:tcW w:w="1371" w:type="dxa"/>
            <w:vMerge w:val="restart"/>
            <w:vAlign w:val="center"/>
          </w:tcPr>
          <w:p>
            <w:pPr>
              <w:autoSpaceDE w:val="0"/>
              <w:autoSpaceDN w:val="0"/>
              <w:adjustRightInd w:val="0"/>
              <w:spacing w:line="400" w:lineRule="exact"/>
              <w:ind w:firstLineChars="200" w:firstLine="520"/>
              <w:jc w:val="center"/>
              <w:rPr>
                <w:rFonts w:ascii="方正仿宋_GBK" w:eastAsia="方正仿宋_GBK" w:cs="Times New Roman" w:hAnsi="黑体"/>
                <w:kern w:val="0"/>
                <w:sz w:val="26"/>
                <w:szCs w:val="26"/>
              </w:rPr>
            </w:pPr>
          </w:p>
          <w:p>
            <w:pPr>
              <w:autoSpaceDE w:val="0"/>
              <w:autoSpaceDN w:val="0"/>
              <w:adjustRightInd w:val="0"/>
              <w:spacing w:line="400" w:lineRule="exact"/>
              <w:ind w:firstLineChars="200" w:firstLine="520"/>
              <w:jc w:val="center"/>
              <w:rPr>
                <w:rFonts w:ascii="方正仿宋_GBK" w:eastAsia="方正仿宋_GBK" w:cs="Times New Roman" w:hAnsi="黑体"/>
                <w:kern w:val="0"/>
                <w:sz w:val="26"/>
                <w:szCs w:val="26"/>
              </w:rPr>
            </w:pPr>
          </w:p>
          <w:p>
            <w:pPr>
              <w:autoSpaceDE w:val="0"/>
              <w:autoSpaceDN w:val="0"/>
              <w:adjustRightInd w:val="0"/>
              <w:spacing w:line="400" w:lineRule="exact"/>
              <w:jc w:val="left"/>
              <w:rPr>
                <w:rFonts w:ascii="方正黑体_GBK" w:eastAsia="方正黑体_GBK" w:cs="Times New Roman" w:hAnsi="黑体"/>
                <w:kern w:val="0"/>
                <w:sz w:val="26"/>
                <w:szCs w:val="26"/>
              </w:rPr>
            </w:pPr>
            <w:r>
              <w:rPr>
                <w:rFonts w:ascii="方正黑体_GBK" w:eastAsia="方正黑体_GBK" w:cs="Times New Roman" w:hAnsi="黑体" w:hint="eastAsia"/>
                <w:kern w:val="0"/>
                <w:sz w:val="26"/>
                <w:szCs w:val="26"/>
              </w:rPr>
              <w:t>二、压实管党治党责任，纵深推进全面从严治党</w:t>
            </w:r>
          </w:p>
          <w:p>
            <w:pPr>
              <w:autoSpaceDE w:val="0"/>
              <w:autoSpaceDN w:val="0"/>
              <w:adjustRightInd w:val="0"/>
              <w:spacing w:line="400" w:lineRule="exact"/>
              <w:ind w:firstLineChars="200" w:firstLine="520"/>
              <w:jc w:val="center"/>
              <w:rPr>
                <w:rFonts w:ascii="方正仿宋_GBK" w:eastAsia="方正仿宋_GBK" w:cs="Times New Roman" w:hAnsi="黑体"/>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5.全力保障脱贫攻坚决战决胜，深化“纪律作风保障年”活动。</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社会管理局</w:t>
            </w:r>
          </w:p>
        </w:tc>
        <w:tc>
          <w:tcPr>
            <w:tcW w:w="2114" w:type="dxa"/>
            <w:vAlign w:val="center"/>
          </w:tcPr>
          <w:p>
            <w:pPr>
              <w:spacing w:line="360" w:lineRule="exact"/>
              <w:jc w:val="center"/>
              <w:rPr>
                <w:rFonts w:ascii="方正仿宋_GBK" w:eastAsia="方正仿宋_GBK" w:hAnsi="仿宋"/>
                <w:kern w:val="0"/>
                <w:szCs w:val="26"/>
              </w:rPr>
            </w:pPr>
            <w:r>
              <w:rPr>
                <w:rFonts w:ascii="方正仿宋_GBK" w:eastAsia="方正仿宋_GBK" w:hAnsi="仿宋" w:hint="eastAsia"/>
                <w:kern w:val="0"/>
                <w:szCs w:val="26"/>
              </w:rPr>
              <w:t>钒钛高新区（钒钛新城）脱贫攻坚</w:t>
            </w:r>
          </w:p>
          <w:p>
            <w:pPr>
              <w:spacing w:line="360" w:lineRule="exact"/>
              <w:jc w:val="center"/>
              <w:rPr>
                <w:rFonts w:ascii="方正仿宋_GBK" w:eastAsia="方正仿宋_GBK" w:hAnsi="仿宋"/>
                <w:kern w:val="0"/>
                <w:szCs w:val="26"/>
              </w:rPr>
            </w:pPr>
            <w:r>
              <w:rPr>
                <w:rFonts w:ascii="方正仿宋_GBK" w:eastAsia="方正仿宋_GBK" w:hAnsi="仿宋" w:hint="eastAsia"/>
                <w:kern w:val="0"/>
                <w:szCs w:val="26"/>
              </w:rPr>
              <w:t>领导小组成员单位</w:t>
            </w:r>
          </w:p>
        </w:tc>
      </w:tr>
      <w:tr>
        <w:trPr>
          <w:trHeight w:val="1053"/>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6.紧盯重大项目建设、资金拨付使用等关键环节，从严查处贪污侵占、吃拿卡要、优亲厚友等行为。</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申红剑</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财政金融局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472"/>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7.科学精准做好疫情防控监督工作，依规依纪依法查处敷衍塞责、弄虚作假、推诿扯皮、消极应付和贪污侵占挪用救援款物、失职渎职等违纪违法问题。</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社会管理局</w:t>
            </w:r>
          </w:p>
        </w:tc>
        <w:tc>
          <w:tcPr>
            <w:tcW w:w="2114" w:type="dxa"/>
            <w:vAlign w:val="center"/>
          </w:tcPr>
          <w:p>
            <w:pPr>
              <w:spacing w:line="30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钒钛高新区（钒钛新城）应对新型冠状病毒感染肺炎疫情工作领导小组成员单位</w:t>
            </w:r>
          </w:p>
        </w:tc>
      </w:tr>
      <w:tr>
        <w:trPr>
          <w:trHeight w:val="1869"/>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8.结合“守纪律、提效能、强执行、做表率”活动，聚焦漠视群众利益问题、涉黑涉恶势力“保护伞”问题、“四风”问题，扎实开展“利剑除弊 护航花城”专项行动，着力解决存在的突出问题，推动全面从严治党向纵深发展，持续巩固发展钒钛高新区（钒钛新城）良好政治生态。</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申红剑</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85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9.深入推进漠视侵害群众利益问题专项整治“回头看”，聚焦与群众生活息息相关的食品药品安全、教育医疗、生态环保、行政审批等领域，既抓顽症痼疾，又抓苗头性倾向性问题。</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周  佳</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刘延东</w:t>
            </w:r>
          </w:p>
        </w:tc>
        <w:tc>
          <w:tcPr>
            <w:tcW w:w="2111" w:type="dxa"/>
            <w:tcBorders>
              <w:top w:val="single" w:sz="4" w:space="0" w:color="000000"/>
              <w:left w:val="single" w:sz="4" w:space="0" w:color="000000"/>
              <w:right w:val="single" w:sz="4" w:space="0" w:color="000000"/>
            </w:tcBorders>
            <w:vAlign w:val="center"/>
          </w:tcPr>
          <w:p>
            <w:pPr>
              <w:spacing w:line="300" w:lineRule="exact"/>
              <w:jc w:val="center"/>
              <w:rPr>
                <w:rFonts w:ascii="方正仿宋_GBK" w:eastAsia="方正仿宋_GBK" w:hAnsi="仿宋"/>
                <w:kern w:val="0"/>
                <w:sz w:val="23"/>
                <w:szCs w:val="23"/>
              </w:rPr>
            </w:pPr>
            <w:r>
              <w:rPr>
                <w:rFonts w:ascii="方正仿宋_GBK" w:eastAsia="方正仿宋_GBK" w:hAnsi="仿宋" w:hint="eastAsia"/>
                <w:kern w:val="0"/>
                <w:sz w:val="23"/>
                <w:szCs w:val="23"/>
              </w:rPr>
              <w:t>纪检监察工委</w:t>
            </w:r>
          </w:p>
          <w:p>
            <w:pPr>
              <w:spacing w:line="300" w:lineRule="exact"/>
              <w:jc w:val="center"/>
              <w:rPr>
                <w:rFonts w:ascii="方正仿宋_GBK" w:eastAsia="方正仿宋_GBK" w:hAnsi="仿宋"/>
                <w:kern w:val="0"/>
                <w:sz w:val="23"/>
                <w:szCs w:val="23"/>
              </w:rPr>
            </w:pPr>
            <w:r>
              <w:rPr>
                <w:rFonts w:ascii="方正仿宋_GBK" w:eastAsia="方正仿宋_GBK" w:hAnsi="仿宋" w:hint="eastAsia"/>
                <w:kern w:val="0"/>
                <w:sz w:val="23"/>
                <w:szCs w:val="23"/>
              </w:rPr>
              <w:t>社会管理局</w:t>
            </w:r>
          </w:p>
          <w:p>
            <w:pPr>
              <w:spacing w:line="300" w:lineRule="exact"/>
              <w:jc w:val="center"/>
              <w:rPr>
                <w:rFonts w:ascii="方正仿宋_GBK" w:eastAsia="方正仿宋_GBK" w:hAnsi="仿宋"/>
                <w:kern w:val="0"/>
                <w:sz w:val="23"/>
                <w:szCs w:val="23"/>
              </w:rPr>
            </w:pPr>
            <w:r>
              <w:rPr>
                <w:rFonts w:ascii="方正仿宋_GBK" w:eastAsia="方正仿宋_GBK" w:hAnsi="仿宋" w:hint="eastAsia"/>
                <w:kern w:val="0"/>
                <w:sz w:val="23"/>
                <w:szCs w:val="23"/>
              </w:rPr>
              <w:t>应急管理与生态</w:t>
            </w:r>
          </w:p>
          <w:p>
            <w:pPr>
              <w:spacing w:line="300" w:lineRule="exact"/>
              <w:jc w:val="center"/>
              <w:rPr>
                <w:rFonts w:ascii="方正仿宋_GBK" w:eastAsia="方正仿宋_GBK" w:hAnsi="仿宋"/>
                <w:kern w:val="0"/>
                <w:sz w:val="23"/>
                <w:szCs w:val="23"/>
              </w:rPr>
            </w:pPr>
            <w:r>
              <w:rPr>
                <w:rFonts w:ascii="方正仿宋_GBK" w:eastAsia="方正仿宋_GBK" w:hAnsi="仿宋" w:hint="eastAsia"/>
                <w:kern w:val="0"/>
                <w:sz w:val="23"/>
                <w:szCs w:val="23"/>
              </w:rPr>
              <w:t>环境局</w:t>
            </w:r>
          </w:p>
          <w:p>
            <w:pPr>
              <w:spacing w:line="300" w:lineRule="exact"/>
              <w:jc w:val="center"/>
              <w:rPr>
                <w:rFonts w:ascii="方正仿宋_GBK" w:eastAsia="方正仿宋_GBK" w:hAnsi="仿宋"/>
                <w:kern w:val="0"/>
                <w:sz w:val="23"/>
                <w:szCs w:val="23"/>
              </w:rPr>
            </w:pPr>
            <w:r>
              <w:rPr>
                <w:rFonts w:ascii="方正仿宋_GBK" w:eastAsia="方正仿宋_GBK" w:hAnsi="仿宋" w:hint="eastAsia"/>
                <w:kern w:val="0"/>
                <w:sz w:val="23"/>
                <w:szCs w:val="23"/>
              </w:rPr>
              <w:t>行政审批局</w:t>
            </w:r>
          </w:p>
          <w:p>
            <w:pPr>
              <w:spacing w:line="300" w:lineRule="exact"/>
              <w:rPr>
                <w:rFonts w:ascii="方正仿宋_GBK" w:eastAsia="方正仿宋_GBK" w:hAnsi="仿宋"/>
                <w:kern w:val="0"/>
                <w:sz w:val="26"/>
                <w:szCs w:val="26"/>
              </w:rPr>
            </w:pPr>
            <w:r>
              <w:rPr>
                <w:rFonts w:ascii="方正仿宋_GBK" w:eastAsia="方正仿宋_GBK" w:hAnsi="仿宋" w:hint="eastAsia"/>
                <w:kern w:val="0"/>
                <w:sz w:val="23"/>
                <w:szCs w:val="23"/>
              </w:rPr>
              <w:t>市场监督管理分局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546"/>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986"/>
        </w:trPr>
        <w:tc>
          <w:tcPr>
            <w:tcW w:w="1371" w:type="dxa"/>
            <w:vMerge w:val="restart"/>
            <w:vAlign w:val="center"/>
          </w:tcPr>
          <w:p>
            <w:pPr>
              <w:autoSpaceDE w:val="0"/>
              <w:autoSpaceDN w:val="0"/>
              <w:adjustRightInd w:val="0"/>
              <w:spacing w:line="400" w:lineRule="exact"/>
              <w:ind w:firstLineChars="200" w:firstLine="520"/>
              <w:jc w:val="center"/>
              <w:rPr>
                <w:rFonts w:ascii="方正仿宋_GBK" w:eastAsia="方正仿宋_GBK" w:cs="Times New Roman" w:hAnsi="黑体"/>
                <w:kern w:val="0"/>
                <w:sz w:val="26"/>
                <w:szCs w:val="26"/>
              </w:rPr>
            </w:pPr>
          </w:p>
          <w:p>
            <w:pPr>
              <w:autoSpaceDE w:val="0"/>
              <w:autoSpaceDN w:val="0"/>
              <w:adjustRightInd w:val="0"/>
              <w:spacing w:line="400" w:lineRule="exact"/>
              <w:jc w:val="left"/>
              <w:rPr>
                <w:rFonts w:ascii="方正黑体_GBK" w:eastAsia="方正黑体_GBK" w:cs="Times New Roman" w:hAnsi="黑体"/>
                <w:kern w:val="0"/>
                <w:sz w:val="26"/>
                <w:szCs w:val="26"/>
              </w:rPr>
            </w:pPr>
            <w:r>
              <w:rPr>
                <w:rFonts w:ascii="方正黑体_GBK" w:eastAsia="方正黑体_GBK" w:cs="Times New Roman" w:hAnsi="黑体" w:hint="eastAsia"/>
                <w:kern w:val="0"/>
                <w:sz w:val="26"/>
                <w:szCs w:val="26"/>
              </w:rPr>
              <w:t>二、压实管党治党责任，纵深推进全面从严治党</w:t>
            </w:r>
          </w:p>
          <w:p>
            <w:pPr>
              <w:spacing w:line="400" w:lineRule="exact"/>
              <w:jc w:val="center"/>
              <w:rPr>
                <w:rFonts w:ascii="方正仿宋_GBK" w:eastAsia="方正仿宋_GBK" w:hAnsi="仿宋"/>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10.持续拓展“一卡通”管理问题专项治理成果。</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财政金融局</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社会管理局</w:t>
            </w:r>
          </w:p>
        </w:tc>
      </w:tr>
      <w:tr>
        <w:trPr>
          <w:trHeight w:val="1194"/>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11.精准查处涉黑涉恶腐败和“保护伞”问题，盯紧重点领域，深入开展整治活动。</w:t>
            </w:r>
          </w:p>
        </w:tc>
        <w:tc>
          <w:tcPr>
            <w:tcW w:w="1271" w:type="dxa"/>
            <w:tcBorders>
              <w:top w:val="single" w:sz="4" w:space="0" w:color="000000"/>
              <w:left w:val="single" w:sz="4" w:space="0" w:color="000000"/>
              <w:right w:val="single" w:sz="4" w:space="0" w:color="000000"/>
            </w:tcBorders>
            <w:vAlign w:val="center"/>
          </w:tcPr>
          <w:p>
            <w:pPr>
              <w:spacing w:line="360" w:lineRule="exact"/>
              <w:rPr>
                <w:rFonts w:ascii="方正仿宋_GBK" w:eastAsia="方正仿宋_GBK" w:hAnsi="仿宋"/>
                <w:kern w:val="0"/>
                <w:sz w:val="26"/>
                <w:szCs w:val="26"/>
              </w:rPr>
            </w:pPr>
            <w:r>
              <w:rPr>
                <w:rFonts w:ascii="方正仿宋_GBK" w:eastAsia="方正仿宋_GBK" w:hAnsi="仿宋" w:hint="eastAsia"/>
                <w:kern w:val="0"/>
                <w:sz w:val="26"/>
                <w:szCs w:val="26"/>
              </w:rPr>
              <w:t xml:space="preserve"> 申红剑</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社会管理据</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公安分局</w:t>
            </w:r>
          </w:p>
        </w:tc>
        <w:tc>
          <w:tcPr>
            <w:tcW w:w="2114" w:type="dxa"/>
            <w:vAlign w:val="center"/>
          </w:tcPr>
          <w:p>
            <w:pPr>
              <w:spacing w:line="300" w:lineRule="exact"/>
              <w:jc w:val="center"/>
              <w:rPr>
                <w:rFonts w:ascii="方正仿宋_GBK" w:eastAsia="方正仿宋_GBK" w:hAnsi="仿宋"/>
                <w:kern w:val="0"/>
                <w:sz w:val="26"/>
                <w:szCs w:val="26"/>
              </w:rPr>
            </w:pPr>
            <w:r>
              <w:rPr>
                <w:rFonts w:ascii="方正仿宋_GBK" w:eastAsia="方正仿宋_GBK" w:hAnsi="仿宋" w:hint="eastAsia"/>
                <w:kern w:val="0"/>
                <w:szCs w:val="26"/>
              </w:rPr>
              <w:t>钒钛高新区（钒钛新城）扫黑除恶专项斗争领导小组成员单位</w:t>
            </w:r>
          </w:p>
        </w:tc>
      </w:tr>
      <w:tr>
        <w:trPr>
          <w:trHeight w:val="1760"/>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12.全面推进金江镇村级建制调整改革工作，指导金江镇加强纪检监察组织规范化建设，充分发挥基层党组织监督工作，引导党员、群众有序参与监督，加强对“一肩挑”后村党组织书记的监督，推动镇、村（社区）干部廉洁公平公正地为群众办实事好事。</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r>
      <w:tr>
        <w:trPr>
          <w:trHeight w:val="2111"/>
        </w:trPr>
        <w:tc>
          <w:tcPr>
            <w:tcW w:w="1371" w:type="dxa"/>
            <w:vMerge w:val="restart"/>
            <w:vAlign w:val="center"/>
          </w:tcPr>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left"/>
              <w:rPr>
                <w:rFonts w:ascii="方正黑体_GBK" w:eastAsia="方正黑体_GBK" w:cs="Times New Roman" w:hAnsi="黑体"/>
                <w:kern w:val="0"/>
                <w:sz w:val="26"/>
                <w:szCs w:val="26"/>
              </w:rPr>
            </w:pPr>
            <w:r>
              <w:rPr>
                <w:rFonts w:ascii="方正黑体_GBK" w:eastAsia="方正黑体_GBK" w:cs="Times New Roman" w:hAnsi="黑体" w:hint="eastAsia"/>
                <w:kern w:val="0"/>
                <w:sz w:val="26"/>
                <w:szCs w:val="26"/>
              </w:rPr>
              <w:t>三、持之以恒正风肃纪，坚决打赢作风建设持久战</w:t>
            </w:r>
          </w:p>
          <w:p>
            <w:pPr>
              <w:spacing w:line="400" w:lineRule="exact"/>
              <w:jc w:val="center"/>
              <w:rPr>
                <w:rFonts w:ascii="方正黑体_GBK" w:eastAsia="方正黑体_GBK" w:cs="Times New Roman" w:hAnsi="黑体"/>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13.严格落实中央八项规定精神、省市十项规定及其实施细则，纠正“四风”特别是形式主义、官僚主义，既盯紧看牢老问题，又密切关注新动态，严查转入“地下”的吃喝歪风、收送电子红包、私车公养等隐性变异问题，深化党员、干部“赌博敛财”、利用地方名贵特产谋取私利问题专项整治。</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申红剑</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财政金融局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14.从严处理顶风违纪问题特别是党的十九大后不收敛不收手行为，对在党的十九大后违反中央八项规定精神、受到党纪政务处分的党员、干部，一律点名道姓通报曝光。</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688"/>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986"/>
        </w:trPr>
        <w:tc>
          <w:tcPr>
            <w:tcW w:w="1371" w:type="dxa"/>
            <w:vMerge w:val="restart"/>
            <w:vAlign w:val="center"/>
          </w:tcPr>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left"/>
              <w:rPr>
                <w:rFonts w:ascii="方正黑体_GBK" w:eastAsia="方正黑体_GBK" w:cs="Times New Roman" w:hAnsi="黑体"/>
                <w:kern w:val="0"/>
                <w:sz w:val="26"/>
                <w:szCs w:val="26"/>
              </w:rPr>
            </w:pPr>
            <w:r>
              <w:rPr>
                <w:rFonts w:ascii="方正黑体_GBK" w:eastAsia="方正黑体_GBK" w:cs="Times New Roman" w:hAnsi="黑体" w:hint="eastAsia"/>
                <w:kern w:val="0"/>
                <w:sz w:val="26"/>
                <w:szCs w:val="26"/>
              </w:rPr>
              <w:t>三、持之以恒正风肃纪，坚决打赢作风建设持久战</w:t>
            </w:r>
          </w:p>
          <w:p>
            <w:pPr>
              <w:spacing w:line="400" w:lineRule="exact"/>
              <w:jc w:val="center"/>
              <w:rPr>
                <w:rFonts w:ascii="方正仿宋_GBK" w:eastAsia="方正仿宋_GBK" w:hAnsi="仿宋"/>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15.深入开展钒钛新城建设纪律作风保障年活动，优化政务服务行为，严查严惩涉企管理服务方面吃拿卡要等行为，坚决惩治以案谋私、耍特权等侵犯企业合法权益的问题，持续优化经济发展环境。加大精准执纪执法力度，紧盯招商引资、征地拆迁、道路环境提升项目和基础设施综合配套工程等重点工作，督指标、督进度、督任务、督责任，保障工作推进高效廉洁。</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周  佳</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刘延东</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行政审批局</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经济发展局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16.从讲政治高度整治形式主义、官僚主义，严格按照中共中央办公厅《关于持续解决困扰基层的形式主义问题为决胜全面建成小康社会提供坚强作风保证的通知》要求，坚持从领导机关和领导干部抓起、改起，查摆问题从下往上看、解决问题从上往下抓，坚决整治贯彻中央、省委和市委决策部署只表态不落实，拍脑袋决策、搞“一言堂”，脱离实际、好大喜功，弄虚作假、欺上瞒下等问题；坚决整治不担当不作为问题，推动党员、干部知重负重、担当作为；坚决整治困扰基层的文山会海、过度留痕、责任“甩锅”等问题，深化拓展“基层减负年”工作。</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17.坚持“三个区分开来”，贯通运用监督执纪“四种形态”，让干部习惯在受监督约束的环境中工作生活，完善纪检监察机关查处诬告陷害行为制度规范，加大干部正向激励力度。</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688"/>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1938"/>
        </w:trPr>
        <w:tc>
          <w:tcPr>
            <w:tcW w:w="1371" w:type="dxa"/>
            <w:vMerge w:val="restart"/>
            <w:vAlign w:val="center"/>
          </w:tcPr>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r>
              <w:rPr>
                <w:rFonts w:ascii="方正黑体_GBK" w:eastAsia="方正黑体_GBK" w:cs="Times New Roman" w:hAnsi="黑体" w:hint="eastAsia"/>
                <w:kern w:val="0"/>
                <w:sz w:val="26"/>
                <w:szCs w:val="26"/>
              </w:rPr>
              <w:t>四、一体推进不敢腐、不能腐、不想腐，巩固发展反腐败斗争压倒性胜利</w:t>
            </w:r>
          </w:p>
          <w:p>
            <w:pPr>
              <w:spacing w:line="400" w:lineRule="exact"/>
              <w:jc w:val="center"/>
              <w:rPr>
                <w:rFonts w:ascii="方正仿宋_GBK" w:eastAsia="方正仿宋_GBK" w:hAnsi="仿宋"/>
                <w:kern w:val="0"/>
                <w:sz w:val="26"/>
                <w:szCs w:val="26"/>
              </w:rPr>
            </w:p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18.盯紧“关键少数”、重要岗位，对党的十八大以来不收敛不收手，严重阻碍党的理论和路线方针政策贯彻执行、严重损害党的执政根基，成为全面从严治党障碍的腐败问题从严查处，对主动投案者依规依纪依法从宽处理，斩断“围猎”和甘于“被围猎”的利益链。</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090"/>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19.坚决查处各种风险背后的腐败问题，聚焦重点领域，预防和严惩靠企吃企、关联交易、利益输送、内外勾结侵吞国有资产等问题。</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239"/>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20.加强督促检查，严格执行领导干部配偶、子女及其配偶经商办企业有关规定。</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217"/>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21.坚持标本兼治，抓好重大典型案件“以案促改”，推动审批监管、工程建设等重点领域监督机制改革和制度建设。</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周  佳</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新城建设局</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行政审批局</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509"/>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22.多形式推广廉洁文化、开展廉政教育，结合实际开展好“好风传家”系列活动，引导党员、干部培养现代文明人格。</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688"/>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仿宋_GBK" w:eastAsia="方正仿宋_GBK" w:hAnsi="仿宋"/>
                <w:kern w:val="0"/>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986"/>
        </w:trPr>
        <w:tc>
          <w:tcPr>
            <w:tcW w:w="1371" w:type="dxa"/>
            <w:vMerge w:val="restart"/>
            <w:vAlign w:val="center"/>
          </w:tcPr>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center"/>
              <w:rPr>
                <w:rFonts w:ascii="方正黑体_GBK" w:eastAsia="方正黑体_GBK" w:cs="Times New Roman" w:hAnsi="黑体"/>
                <w:kern w:val="0"/>
                <w:sz w:val="26"/>
                <w:szCs w:val="26"/>
              </w:rPr>
            </w:pPr>
          </w:p>
          <w:p>
            <w:pPr>
              <w:autoSpaceDE w:val="0"/>
              <w:autoSpaceDN w:val="0"/>
              <w:adjustRightInd w:val="0"/>
              <w:spacing w:line="400" w:lineRule="exact"/>
              <w:jc w:val="left"/>
              <w:rPr>
                <w:rFonts w:ascii="方正仿宋_GBK" w:eastAsia="方正仿宋_GBK" w:cs="Times New Roman" w:hAnsi="黑体"/>
                <w:kern w:val="0"/>
                <w:sz w:val="26"/>
                <w:szCs w:val="26"/>
              </w:rPr>
            </w:pPr>
            <w:r>
              <w:rPr>
                <w:rFonts w:ascii="方正黑体_GBK" w:eastAsia="方正黑体_GBK" w:cs="Times New Roman" w:hAnsi="黑体" w:hint="eastAsia"/>
                <w:kern w:val="0"/>
                <w:sz w:val="26"/>
                <w:szCs w:val="26"/>
              </w:rPr>
              <w:t>五、持续健全监督体系，以铁的纪律维护制度权威</w:t>
            </w: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23.完善党委领导下的反腐败制度机制、重大举措，全面落实党委主体责任、书记第一责任人责任和纪检监察工委监督责任，实现贯通联动、一体落实。</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24.扎实开展“心向阳光 干净担当”专项活动，分层分类定期开展警示教育，以案明纪，以案释法，教育引导广大党员干部，特别是“一把手”和优秀年轻干部筑牢拒腐防变思想防线，提高廉洁意识。</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25.完善全覆盖的制度执行监督机制，强化日常监督和专项检查，将制度执行情况纳入年度考核内容，扎紧制度笼子，以经常性监督确保权力在正确轨道内运行。加强对权力运行各个环节的制约和监督，督促各级党员领导干部坚持民主集中制、执行“三重一大”决策制度。</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陈元才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综合办公室</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26.进一步提升选人用人审核把关质量，坚决防止“带病提拔”问题。</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27.认真贯彻落实《纪检监察机关处理检举控告工作规则》，推进检举举报平台建设，定期梳理、综合分析信访举报情况，加强对线索处置方式、办理结果的监督审核。</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p>
        </w:tc>
      </w:tr>
      <w:tr>
        <w:trPr>
          <w:trHeight w:val="986"/>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28.坚持规范问责、精准问责，既追究乱用滥用权力的渎职行为、也追究不用弃用权力的失职行为，既追究直接责任、也追究相关领导责任，确保制度时时生威、处处有效。</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688"/>
        </w:trPr>
        <w:tc>
          <w:tcPr>
            <w:tcW w:w="1371" w:type="dxa"/>
            <w:vAlign w:val="center"/>
          </w:tcPr>
          <w:p>
            <w:pPr>
              <w:jc w:val="center"/>
              <w:rPr>
                <w:rFonts w:ascii="方正黑体_GBK" w:eastAsia="方正黑体_GBK"/>
                <w:b/>
                <w:sz w:val="26"/>
                <w:szCs w:val="26"/>
              </w:rPr>
            </w:pPr>
            <w:r>
              <w:rPr>
                <w:rFonts w:ascii="方正黑体_GBK" w:eastAsia="方正黑体_GBK" w:hint="eastAsia"/>
                <w:b/>
                <w:sz w:val="26"/>
                <w:szCs w:val="26"/>
              </w:rPr>
              <w:t>项  目</w:t>
            </w:r>
          </w:p>
        </w:tc>
        <w:tc>
          <w:tcPr>
            <w:tcW w:w="8017" w:type="dxa"/>
            <w:tcBorders>
              <w:top w:val="single" w:sz="4" w:space="0" w:color="000000"/>
              <w:left w:val="single" w:sz="4" w:space="0" w:color="000000"/>
              <w:right w:val="single" w:sz="4" w:space="0" w:color="000000"/>
            </w:tcBorders>
            <w:vAlign w:val="center"/>
          </w:tcPr>
          <w:p>
            <w:pPr>
              <w:jc w:val="center"/>
              <w:rPr>
                <w:rFonts w:ascii="方正黑体_GBK" w:eastAsia="方正黑体_GBK"/>
                <w:b/>
                <w:sz w:val="26"/>
                <w:szCs w:val="26"/>
              </w:rPr>
            </w:pPr>
            <w:r>
              <w:rPr>
                <w:rFonts w:ascii="方正黑体_GBK" w:eastAsia="方正黑体_GBK" w:hint="eastAsia"/>
                <w:b/>
                <w:sz w:val="26"/>
                <w:szCs w:val="26"/>
              </w:rPr>
              <w:t>工作任务</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责任领导</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牵头单位</w:t>
            </w:r>
          </w:p>
        </w:tc>
        <w:tc>
          <w:tcPr>
            <w:tcW w:w="2114" w:type="dxa"/>
            <w:vAlign w:val="center"/>
          </w:tcPr>
          <w:p>
            <w:pPr>
              <w:spacing w:line="360" w:lineRule="exact"/>
              <w:jc w:val="center"/>
              <w:rPr>
                <w:rFonts w:ascii="方正黑体_GBK" w:eastAsia="方正黑体_GBK"/>
                <w:b/>
                <w:sz w:val="26"/>
                <w:szCs w:val="26"/>
              </w:rPr>
            </w:pPr>
            <w:r>
              <w:rPr>
                <w:rFonts w:ascii="方正黑体_GBK" w:eastAsia="方正黑体_GBK" w:hint="eastAsia"/>
                <w:b/>
                <w:sz w:val="26"/>
                <w:szCs w:val="26"/>
              </w:rPr>
              <w:t>协办单位</w:t>
            </w:r>
          </w:p>
        </w:tc>
      </w:tr>
      <w:tr>
        <w:trPr>
          <w:trHeight w:val="1847"/>
        </w:trPr>
        <w:tc>
          <w:tcPr>
            <w:tcW w:w="1371" w:type="dxa"/>
            <w:vMerge w:val="restart"/>
            <w:vAlign w:val="center"/>
          </w:tcPr>
          <w:p>
            <w:pPr>
              <w:spacing w:line="400" w:lineRule="exact"/>
              <w:jc w:val="center"/>
              <w:rPr>
                <w:rFonts w:ascii="方正黑体_GBK" w:eastAsia="方正黑体_GBK" w:cs="Times New Roman" w:hAnsi="黑体"/>
                <w:kern w:val="0"/>
                <w:sz w:val="26"/>
                <w:szCs w:val="26"/>
              </w:rPr>
            </w:pPr>
          </w:p>
          <w:p>
            <w:pPr>
              <w:spacing w:line="400" w:lineRule="exact"/>
              <w:jc w:val="left"/>
              <w:rPr>
                <w:rFonts w:ascii="方正仿宋_GBK" w:eastAsia="方正仿宋_GBK" w:hAnsi="仿宋"/>
                <w:kern w:val="0"/>
                <w:sz w:val="26"/>
                <w:szCs w:val="26"/>
              </w:rPr>
            </w:pPr>
            <w:r>
              <w:rPr>
                <w:rFonts w:ascii="方正黑体_GBK" w:eastAsia="方正黑体_GBK" w:cs="Times New Roman" w:hAnsi="黑体" w:hint="eastAsia"/>
                <w:kern w:val="0"/>
                <w:sz w:val="26"/>
                <w:szCs w:val="26"/>
              </w:rPr>
              <w:t>五、持续健全监督体系，以铁的纪律维护制度权威</w:t>
            </w: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29.各级党组织要严格执行《党委（党组）落实全面从严治党主体责任规定》，自觉做制度执行的表率；党组织负责人要落实“四个亲自”要求，把主体责任牢牢扛在肩上、抓在手上；其他党员领导干部落实“一岗双责”，抓好分管部门和联系单位（部门）党风廉政建设。</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263"/>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31.完善纪检监察工作接受各方面监督的体制机制，党工委和金江镇党委要加强领导和监督，定期听取纪检监察工作报告，为其履行职责创造良好条件。</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胡健康</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党群工作部</w:t>
            </w:r>
          </w:p>
        </w:tc>
        <w:tc>
          <w:tcPr>
            <w:tcW w:w="2114" w:type="dxa"/>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各部门、单位</w:t>
            </w:r>
          </w:p>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金江镇</w:t>
            </w:r>
          </w:p>
        </w:tc>
      </w:tr>
      <w:tr>
        <w:trPr>
          <w:trHeight w:val="1408"/>
        </w:trPr>
        <w:tc>
          <w:tcPr>
            <w:tcW w:w="1371" w:type="dxa"/>
            <w:vMerge/>
            <w:vAlign w:val="center"/>
          </w:tcPr>
          <w:p/>
        </w:tc>
        <w:tc>
          <w:tcPr>
            <w:tcW w:w="8017" w:type="dxa"/>
            <w:tcBorders>
              <w:top w:val="single" w:sz="4" w:space="0" w:color="000000"/>
              <w:left w:val="single" w:sz="4" w:space="0" w:color="000000"/>
              <w:right w:val="single" w:sz="4" w:space="0" w:color="000000"/>
            </w:tcBorders>
            <w:vAlign w:val="center"/>
          </w:tcPr>
          <w:p>
            <w:pPr>
              <w:autoSpaceDE w:val="0"/>
              <w:autoSpaceDN w:val="0"/>
              <w:adjustRightInd w:val="0"/>
              <w:spacing w:line="400" w:lineRule="exact"/>
              <w:jc w:val="left"/>
              <w:rPr>
                <w:rFonts w:ascii="方正仿宋_GBK" w:eastAsia="方正仿宋_GBK" w:hAnsi="仿宋"/>
                <w:kern w:val="0"/>
                <w:sz w:val="26"/>
                <w:szCs w:val="26"/>
              </w:rPr>
            </w:pPr>
            <w:r>
              <w:rPr>
                <w:rFonts w:ascii="方正仿宋_GBK" w:eastAsia="方正仿宋_GBK" w:hAnsi="仿宋" w:hint="eastAsia"/>
                <w:kern w:val="0"/>
                <w:sz w:val="26"/>
                <w:szCs w:val="26"/>
              </w:rPr>
              <w:t>32.纪检监察工委要牢固树立法治意识、程序意识、证据意识，高效规范开展工作，健全内控机制，强化自我监督、自我约束，打造纪检监察铁军。</w:t>
            </w:r>
          </w:p>
        </w:tc>
        <w:tc>
          <w:tcPr>
            <w:tcW w:w="127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汤国军</w:t>
            </w:r>
          </w:p>
        </w:tc>
        <w:tc>
          <w:tcPr>
            <w:tcW w:w="2111" w:type="dxa"/>
            <w:tcBorders>
              <w:top w:val="single" w:sz="4" w:space="0" w:color="000000"/>
              <w:left w:val="single" w:sz="4" w:space="0" w:color="000000"/>
              <w:right w:val="single" w:sz="4" w:space="0" w:color="000000"/>
            </w:tcBorders>
            <w:vAlign w:val="center"/>
          </w:tcPr>
          <w:p>
            <w:pPr>
              <w:spacing w:line="360" w:lineRule="exact"/>
              <w:jc w:val="center"/>
              <w:rPr>
                <w:rFonts w:ascii="方正仿宋_GBK" w:eastAsia="方正仿宋_GBK" w:hAnsi="仿宋"/>
                <w:kern w:val="0"/>
                <w:sz w:val="26"/>
                <w:szCs w:val="26"/>
              </w:rPr>
            </w:pPr>
            <w:r>
              <w:rPr>
                <w:rFonts w:ascii="方正仿宋_GBK" w:eastAsia="方正仿宋_GBK" w:hAnsi="仿宋" w:hint="eastAsia"/>
                <w:kern w:val="0"/>
                <w:sz w:val="26"/>
                <w:szCs w:val="26"/>
              </w:rPr>
              <w:t>纪检监察工委</w:t>
            </w:r>
          </w:p>
        </w:tc>
        <w:tc>
          <w:tcPr>
            <w:tcW w:w="2114" w:type="dxa"/>
            <w:vAlign w:val="center"/>
          </w:tcPr>
          <w:p>
            <w:pPr>
              <w:spacing w:line="360" w:lineRule="exact"/>
              <w:jc w:val="center"/>
              <w:rPr>
                <w:rFonts w:ascii="方正仿宋_GBK" w:eastAsia="方正仿宋_GBK" w:hAnsi="仿宋"/>
                <w:kern w:val="0"/>
                <w:sz w:val="26"/>
                <w:szCs w:val="26"/>
              </w:rPr>
            </w:pPr>
          </w:p>
        </w:tc>
      </w:tr>
    </w:tbl>
    <w:p>
      <w:pPr>
        <w:spacing w:line="400" w:lineRule="exact"/>
        <w:jc w:val="center"/>
        <w:rPr>
          <w:rFonts w:ascii="方正仿宋_GBK" w:eastAsia="方正仿宋_GBK" w:hAnsi="仿宋"/>
          <w:kern w:val="0"/>
          <w:sz w:val="26"/>
          <w:szCs w:val="26"/>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82F849E-EE2E-4687-B2CB-80024AFBDE0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38</TotalTime>
  <Application>Yozo_Office27021597764231179</Application>
  <Pages>7</Pages>
  <Words>0</Words>
  <Characters>3049</Characters>
  <Lines>0</Lines>
  <Paragraphs>5</Paragraphs>
  <CharactersWithSpaces>4066</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16</cp:revision>
  <cp:lastPrinted>2020-05-18T08:10:00Z</cp:lastPrinted>
  <dcterms:created xsi:type="dcterms:W3CDTF">2020-05-13T07:08:00Z</dcterms:created>
  <dcterms:modified xsi:type="dcterms:W3CDTF">2023-07-17T01:36:53Z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2052-11.1.0.10503</vt:lpwstr>
  </property>
  <property fmtid="{D5CDD505-2E9C-101B-9397-08002B2CF9AE}" pid="3" name="ICV">
    <vt:lpwstr>100A0D1570A74B5C8BFF6B491A0DE107</vt:lpwstr>
  </property>
</Properties>
</file>