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26" w:firstLineChars="6"/>
        <w:jc w:val="center"/>
        <w:rPr>
          <w:rFonts w:ascii="Times New Roman" w:hAnsi="Times New Roman" w:eastAsia="方正小标宋_GBK"/>
          <w:sz w:val="44"/>
          <w:szCs w:val="32"/>
        </w:rPr>
      </w:pPr>
      <w:bookmarkStart w:id="0" w:name="_GoBack"/>
      <w:r>
        <w:rPr>
          <w:rFonts w:hint="eastAsia" w:ascii="Times New Roman" w:hAnsi="Times New Roman" w:eastAsia="方正小标宋_GBK"/>
          <w:sz w:val="44"/>
          <w:szCs w:val="32"/>
        </w:rPr>
        <w:t>关于攀枝花钒钛高新区</w:t>
      </w:r>
      <w:r>
        <w:rPr>
          <w:rFonts w:ascii="Times New Roman" w:hAnsi="Times New Roman" w:eastAsia="方正小标宋_GBK"/>
          <w:sz w:val="44"/>
          <w:szCs w:val="32"/>
        </w:rPr>
        <w:t>2022</w:t>
      </w:r>
      <w:r>
        <w:rPr>
          <w:rFonts w:hint="eastAsia" w:ascii="Times New Roman" w:hAnsi="Times New Roman" w:eastAsia="方正小标宋_GBK"/>
          <w:sz w:val="44"/>
          <w:szCs w:val="32"/>
        </w:rPr>
        <w:t>年预算执行情况和</w:t>
      </w:r>
      <w:r>
        <w:rPr>
          <w:rFonts w:ascii="Times New Roman" w:hAnsi="Times New Roman" w:eastAsia="方正小标宋_GBK"/>
          <w:sz w:val="44"/>
          <w:szCs w:val="32"/>
        </w:rPr>
        <w:t>2023</w:t>
      </w:r>
      <w:r>
        <w:rPr>
          <w:rFonts w:hint="eastAsia" w:ascii="Times New Roman" w:hAnsi="Times New Roman" w:eastAsia="方正小标宋_GBK"/>
          <w:sz w:val="44"/>
          <w:szCs w:val="32"/>
        </w:rPr>
        <w:t>年预算草案的报告</w:t>
      </w:r>
      <w:bookmarkEnd w:id="0"/>
    </w:p>
    <w:p>
      <w:pPr>
        <w:spacing w:line="600" w:lineRule="exact"/>
        <w:ind w:firstLine="672" w:firstLineChars="210"/>
        <w:rPr>
          <w:rFonts w:ascii="Times New Roman" w:hAnsi="Times New Roman" w:eastAsia="黑体"/>
          <w:sz w:val="32"/>
          <w:szCs w:val="32"/>
        </w:rPr>
      </w:pPr>
    </w:p>
    <w:p>
      <w:pPr>
        <w:spacing w:line="600" w:lineRule="exact"/>
        <w:ind w:firstLine="672" w:firstLineChars="210"/>
        <w:rPr>
          <w:rFonts w:ascii="Times New Roman" w:hAnsi="Times New Roman" w:eastAsia="黑体"/>
          <w:sz w:val="32"/>
          <w:szCs w:val="32"/>
        </w:rPr>
      </w:pPr>
      <w:r>
        <w:rPr>
          <w:rFonts w:hint="eastAsia" w:ascii="Times New Roman" w:hAnsi="Times New Roman" w:eastAsia="黑体"/>
          <w:sz w:val="32"/>
          <w:szCs w:val="32"/>
        </w:rPr>
        <w:t>一、</w:t>
      </w:r>
      <w:r>
        <w:rPr>
          <w:rFonts w:ascii="Times New Roman" w:hAnsi="Times New Roman" w:eastAsia="黑体"/>
          <w:sz w:val="32"/>
          <w:szCs w:val="32"/>
        </w:rPr>
        <w:t>2022</w:t>
      </w:r>
      <w:r>
        <w:rPr>
          <w:rFonts w:hint="eastAsia" w:ascii="Times New Roman" w:hAnsi="Times New Roman" w:eastAsia="黑体"/>
          <w:sz w:val="32"/>
          <w:szCs w:val="32"/>
        </w:rPr>
        <w:t>年预算执行预计情况</w:t>
      </w:r>
    </w:p>
    <w:p>
      <w:pPr>
        <w:adjustRightInd w:val="0"/>
        <w:snapToGrid w:val="0"/>
        <w:spacing w:line="600" w:lineRule="exact"/>
        <w:ind w:firstLine="640"/>
        <w:outlineLvl w:val="1"/>
        <w:rPr>
          <w:rFonts w:ascii="Times New Roman" w:hAnsi="Times New Roman" w:eastAsia="仿宋_GB2312"/>
          <w:sz w:val="32"/>
          <w:szCs w:val="32"/>
        </w:rPr>
      </w:pPr>
      <w:r>
        <w:rPr>
          <w:rFonts w:ascii="Times New Roman" w:hAnsi="Times New Roman" w:eastAsia="仿宋_GB2312"/>
          <w:sz w:val="32"/>
          <w:szCs w:val="32"/>
        </w:rPr>
        <w:t>2022</w:t>
      </w:r>
      <w:r>
        <w:rPr>
          <w:rFonts w:hint="eastAsia" w:ascii="Times New Roman" w:hAnsi="Times New Roman" w:eastAsia="仿宋_GB2312"/>
          <w:sz w:val="32"/>
          <w:szCs w:val="32"/>
        </w:rPr>
        <w:t>年，钒钛高新区上下坚定以习近平新时代中国特色社会主义思想和习近平总书记对四川工作系列重要指示精神为指导，深入学习贯彻党的二十大精神，在市委、市政府和钒钛高新区党工委、管委会的坚强领导下，在市人大和市政协的监督支持下，坚持稳中求进工作总基调，大力推动</w:t>
      </w:r>
      <w:r>
        <w:rPr>
          <w:rFonts w:ascii="Times New Roman" w:hAnsi="Times New Roman" w:eastAsia="仿宋_GB2312"/>
          <w:sz w:val="32"/>
          <w:szCs w:val="32"/>
        </w:rPr>
        <w:t xml:space="preserve"> “</w:t>
      </w:r>
      <w:r>
        <w:rPr>
          <w:rFonts w:hint="eastAsia" w:ascii="Times New Roman" w:hAnsi="Times New Roman" w:eastAsia="仿宋_GB2312"/>
          <w:sz w:val="32"/>
          <w:szCs w:val="32"/>
        </w:rPr>
        <w:t>一三三三</w:t>
      </w:r>
      <w:r>
        <w:rPr>
          <w:rFonts w:ascii="Times New Roman" w:hAnsi="Times New Roman" w:eastAsia="仿宋_GB2312"/>
          <w:sz w:val="32"/>
          <w:szCs w:val="32"/>
        </w:rPr>
        <w:t>”</w:t>
      </w:r>
      <w:r>
        <w:rPr>
          <w:rFonts w:hint="eastAsia" w:ascii="Times New Roman" w:hAnsi="Times New Roman" w:eastAsia="仿宋_GB2312"/>
          <w:sz w:val="32"/>
          <w:szCs w:val="32"/>
        </w:rPr>
        <w:t>总体发展战略落实，坚决贯彻积极的财政政策要提质增效、更可持续的要求，加强财政运行调度，挖掘收入增长潜力，切实树立</w:t>
      </w:r>
      <w:r>
        <w:rPr>
          <w:rFonts w:ascii="Times New Roman" w:hAnsi="Times New Roman" w:eastAsia="仿宋_GB2312"/>
          <w:sz w:val="32"/>
          <w:szCs w:val="32"/>
        </w:rPr>
        <w:t>“</w:t>
      </w:r>
      <w:r>
        <w:rPr>
          <w:rFonts w:hint="eastAsia" w:ascii="Times New Roman" w:hAnsi="Times New Roman" w:eastAsia="仿宋_GB2312"/>
          <w:sz w:val="32"/>
          <w:szCs w:val="32"/>
        </w:rPr>
        <w:t>过紧日子</w:t>
      </w:r>
      <w:r>
        <w:rPr>
          <w:rFonts w:ascii="Times New Roman" w:hAnsi="Times New Roman" w:eastAsia="仿宋_GB2312"/>
          <w:sz w:val="32"/>
          <w:szCs w:val="32"/>
        </w:rPr>
        <w:t>”</w:t>
      </w:r>
      <w:r>
        <w:rPr>
          <w:rFonts w:hint="eastAsia" w:ascii="Times New Roman" w:hAnsi="Times New Roman" w:eastAsia="仿宋_GB2312"/>
          <w:sz w:val="32"/>
          <w:szCs w:val="32"/>
        </w:rPr>
        <w:t>思想，深化预算管理制度改革，全力保障重点领域支出，较好执行收支预算，财政总体稳定运行，为钒钛高新区经济社会发展提供了有力保障。</w:t>
      </w:r>
    </w:p>
    <w:p>
      <w:pPr>
        <w:adjustRightInd w:val="0"/>
        <w:snapToGrid w:val="0"/>
        <w:spacing w:line="600" w:lineRule="exact"/>
        <w:ind w:left="640"/>
        <w:outlineLvl w:val="1"/>
        <w:rPr>
          <w:rFonts w:ascii="Times New Roman" w:hAnsi="Times New Roman" w:eastAsia="楷体_GB2312"/>
          <w:b/>
          <w:sz w:val="32"/>
          <w:szCs w:val="32"/>
        </w:rPr>
      </w:pPr>
      <w:r>
        <w:rPr>
          <w:rFonts w:hint="eastAsia" w:ascii="Times New Roman" w:hAnsi="Times New Roman" w:eastAsia="楷体_GB2312"/>
          <w:b/>
          <w:sz w:val="32"/>
          <w:szCs w:val="32"/>
        </w:rPr>
        <w:t>（一）钒钛高新区预算执行情况。</w:t>
      </w:r>
    </w:p>
    <w:p>
      <w:pPr>
        <w:adjustRightInd w:val="0"/>
        <w:snapToGrid w:val="0"/>
        <w:spacing w:line="600" w:lineRule="exact"/>
        <w:ind w:firstLine="632" w:firstLineChars="197"/>
        <w:outlineLvl w:val="1"/>
        <w:rPr>
          <w:rFonts w:ascii="Times New Roman" w:hAnsi="Times New Roman" w:eastAsia="仿宋_GB2312"/>
          <w:sz w:val="32"/>
          <w:szCs w:val="32"/>
        </w:rPr>
      </w:pPr>
      <w:r>
        <w:rPr>
          <w:rFonts w:hint="eastAsia" w:ascii="Times New Roman" w:hAnsi="Times New Roman" w:eastAsia="仿宋_GB2312"/>
          <w:b/>
          <w:sz w:val="32"/>
          <w:szCs w:val="32"/>
        </w:rPr>
        <w:t>一般公共预算。</w:t>
      </w:r>
      <w:r>
        <w:rPr>
          <w:rFonts w:ascii="Times New Roman" w:hAnsi="Times New Roman" w:eastAsia="仿宋_GB2312"/>
          <w:sz w:val="32"/>
          <w:szCs w:val="32"/>
        </w:rPr>
        <w:t>2022</w:t>
      </w:r>
      <w:r>
        <w:rPr>
          <w:rFonts w:hint="eastAsia" w:ascii="Times New Roman" w:hAnsi="Times New Roman" w:eastAsia="仿宋_GB2312"/>
          <w:sz w:val="32"/>
          <w:szCs w:val="32"/>
        </w:rPr>
        <w:t>年，钒钛高新区地方一般公共预算收入实现36511万元，为预算的111.48</w:t>
      </w:r>
      <w:r>
        <w:rPr>
          <w:rFonts w:ascii="Times New Roman" w:hAnsi="Times New Roman" w:eastAsia="仿宋_GB2312"/>
          <w:sz w:val="32"/>
          <w:szCs w:val="32"/>
        </w:rPr>
        <w:t>%</w:t>
      </w:r>
      <w:r>
        <w:rPr>
          <w:rFonts w:hint="eastAsia" w:ascii="Times New Roman" w:hAnsi="Times New Roman" w:eastAsia="仿宋_GB2312"/>
          <w:sz w:val="32"/>
          <w:szCs w:val="32"/>
        </w:rPr>
        <w:t>。加上级转移支付补助27301万元、地方政府一般债务转贷收入20万元后，钒钛高新区一般公共预算支出实现35000万元，为预算的54.83</w:t>
      </w:r>
      <w:r>
        <w:rPr>
          <w:rFonts w:ascii="Times New Roman" w:hAnsi="Times New Roman" w:eastAsia="仿宋_GB2312"/>
          <w:sz w:val="32"/>
          <w:szCs w:val="32"/>
        </w:rPr>
        <w:t>%</w:t>
      </w:r>
      <w:r>
        <w:rPr>
          <w:rFonts w:hint="eastAsia" w:ascii="Times New Roman" w:hAnsi="Times New Roman" w:eastAsia="仿宋_GB2312"/>
          <w:sz w:val="32"/>
          <w:szCs w:val="32"/>
        </w:rPr>
        <w:t>，年终结存28832万元，其中：补充预算稳定调节基金3760万元、因项目跨年实施需要结转下年继续使用25072万元。</w:t>
      </w:r>
    </w:p>
    <w:p>
      <w:pPr>
        <w:adjustRightInd w:val="0"/>
        <w:snapToGrid w:val="0"/>
        <w:spacing w:line="600" w:lineRule="exact"/>
        <w:ind w:firstLine="643"/>
        <w:outlineLvl w:val="2"/>
        <w:rPr>
          <w:rFonts w:ascii="Times New Roman" w:hAnsi="Times New Roman" w:eastAsia="仿宋_GB2312"/>
          <w:sz w:val="32"/>
          <w:szCs w:val="32"/>
        </w:rPr>
      </w:pPr>
      <w:r>
        <w:rPr>
          <w:rFonts w:hint="eastAsia" w:ascii="Times New Roman" w:hAnsi="Times New Roman" w:eastAsia="仿宋_GB2312"/>
          <w:b/>
          <w:sz w:val="32"/>
          <w:szCs w:val="32"/>
        </w:rPr>
        <w:t>政府性基金预算。</w:t>
      </w:r>
      <w:r>
        <w:rPr>
          <w:rFonts w:ascii="Times New Roman" w:hAnsi="Times New Roman" w:eastAsia="仿宋_GB2312"/>
          <w:sz w:val="32"/>
          <w:szCs w:val="32"/>
        </w:rPr>
        <w:t>2022</w:t>
      </w:r>
      <w:r>
        <w:rPr>
          <w:rFonts w:hint="eastAsia" w:ascii="Times New Roman" w:hAnsi="Times New Roman" w:eastAsia="仿宋_GB2312"/>
          <w:sz w:val="32"/>
          <w:szCs w:val="32"/>
        </w:rPr>
        <w:t>年，钒钛高新区政府性基金预算收入实现68874万元，为预算的100</w:t>
      </w:r>
      <w:r>
        <w:rPr>
          <w:rFonts w:ascii="Times New Roman" w:hAnsi="Times New Roman" w:eastAsia="仿宋_GB2312"/>
          <w:sz w:val="32"/>
          <w:szCs w:val="32"/>
        </w:rPr>
        <w:t>%</w:t>
      </w:r>
      <w:r>
        <w:rPr>
          <w:rFonts w:hint="eastAsia" w:ascii="Times New Roman" w:hAnsi="Times New Roman" w:eastAsia="仿宋_GB2312"/>
          <w:sz w:val="32"/>
          <w:szCs w:val="32"/>
        </w:rPr>
        <w:t>。加上级补助20100万元和地方政府专项债务转贷收入36300后，政府性基金预算支出实现125274万元，为预算的100</w:t>
      </w:r>
      <w:r>
        <w:rPr>
          <w:rFonts w:ascii="Times New Roman" w:hAnsi="Times New Roman" w:eastAsia="仿宋_GB2312"/>
          <w:sz w:val="32"/>
          <w:szCs w:val="32"/>
        </w:rPr>
        <w:t>%</w:t>
      </w:r>
      <w:r>
        <w:rPr>
          <w:rFonts w:hint="eastAsia" w:ascii="Times New Roman" w:hAnsi="Times New Roman" w:eastAsia="仿宋_GB2312"/>
          <w:sz w:val="32"/>
          <w:szCs w:val="32"/>
        </w:rPr>
        <w:t>，年终结余0万元。</w:t>
      </w:r>
    </w:p>
    <w:p>
      <w:pPr>
        <w:adjustRightInd w:val="0"/>
        <w:snapToGrid w:val="0"/>
        <w:spacing w:line="600" w:lineRule="exact"/>
        <w:ind w:firstLine="640"/>
        <w:rPr>
          <w:rFonts w:ascii="Times New Roman" w:hAnsi="Times New Roman" w:eastAsia="仿宋_GB2312"/>
          <w:sz w:val="32"/>
          <w:szCs w:val="32"/>
        </w:rPr>
      </w:pPr>
      <w:r>
        <w:rPr>
          <w:rFonts w:hint="eastAsia" w:ascii="Times New Roman" w:hAnsi="Times New Roman" w:eastAsia="仿宋_GB2312"/>
          <w:b/>
          <w:sz w:val="32"/>
          <w:szCs w:val="32"/>
        </w:rPr>
        <w:t>钒钛高新区主要支出项目执行情况。</w:t>
      </w:r>
      <w:r>
        <w:rPr>
          <w:rFonts w:hint="eastAsia" w:ascii="Times New Roman" w:hAnsi="Times New Roman" w:eastAsia="仿宋_GB2312"/>
          <w:sz w:val="32"/>
          <w:szCs w:val="32"/>
        </w:rPr>
        <w:t>一般公共服务支出9644万元，教育支出1909万元，科学技术支出</w:t>
      </w:r>
      <w:r>
        <w:rPr>
          <w:rFonts w:ascii="Times New Roman" w:hAnsi="Times New Roman" w:eastAsia="仿宋_GB2312"/>
          <w:sz w:val="32"/>
          <w:szCs w:val="32"/>
        </w:rPr>
        <w:t>335</w:t>
      </w:r>
      <w:r>
        <w:rPr>
          <w:rFonts w:hint="eastAsia" w:ascii="Times New Roman" w:hAnsi="Times New Roman" w:eastAsia="仿宋_GB2312"/>
          <w:sz w:val="32"/>
          <w:szCs w:val="32"/>
        </w:rPr>
        <w:t>万元，社会保障和就业支出439万元，卫生健康支出</w:t>
      </w:r>
      <w:r>
        <w:rPr>
          <w:rFonts w:ascii="Times New Roman" w:hAnsi="Times New Roman" w:eastAsia="仿宋_GB2312"/>
          <w:sz w:val="32"/>
          <w:szCs w:val="32"/>
        </w:rPr>
        <w:t>49</w:t>
      </w:r>
      <w:r>
        <w:rPr>
          <w:rFonts w:hint="eastAsia" w:ascii="Times New Roman" w:hAnsi="Times New Roman" w:eastAsia="仿宋_GB2312"/>
          <w:sz w:val="32"/>
          <w:szCs w:val="32"/>
        </w:rPr>
        <w:t>3万元，文化旅游体育与传媒支出</w:t>
      </w:r>
      <w:r>
        <w:rPr>
          <w:rFonts w:ascii="Times New Roman" w:hAnsi="Times New Roman" w:eastAsia="仿宋_GB2312"/>
          <w:sz w:val="32"/>
          <w:szCs w:val="32"/>
        </w:rPr>
        <w:t>4</w:t>
      </w:r>
      <w:r>
        <w:rPr>
          <w:rFonts w:hint="eastAsia" w:ascii="Times New Roman" w:hAnsi="Times New Roman" w:eastAsia="仿宋_GB2312"/>
          <w:sz w:val="32"/>
          <w:szCs w:val="32"/>
        </w:rPr>
        <w:t>万元，节能环保支出</w:t>
      </w:r>
      <w:r>
        <w:rPr>
          <w:rFonts w:ascii="Times New Roman" w:hAnsi="Times New Roman" w:eastAsia="仿宋_GB2312"/>
          <w:sz w:val="32"/>
          <w:szCs w:val="32"/>
        </w:rPr>
        <w:t>10</w:t>
      </w:r>
      <w:r>
        <w:rPr>
          <w:rFonts w:hint="eastAsia" w:ascii="Times New Roman" w:hAnsi="Times New Roman" w:eastAsia="仿宋_GB2312"/>
          <w:sz w:val="32"/>
          <w:szCs w:val="32"/>
        </w:rPr>
        <w:t>万元，农林水支出2152万元，城乡社区支出17379万元。</w:t>
      </w:r>
    </w:p>
    <w:p>
      <w:pPr>
        <w:adjustRightInd w:val="0"/>
        <w:snapToGrid w:val="0"/>
        <w:spacing w:line="600" w:lineRule="exact"/>
        <w:ind w:firstLine="640"/>
        <w:rPr>
          <w:rFonts w:ascii="Times New Roman" w:hAnsi="Times New Roman" w:eastAsia="楷体_GB2312"/>
          <w:b/>
          <w:sz w:val="32"/>
          <w:szCs w:val="32"/>
        </w:rPr>
      </w:pPr>
      <w:r>
        <w:rPr>
          <w:rFonts w:hint="eastAsia" w:ascii="Times New Roman" w:hAnsi="Times New Roman" w:eastAsia="楷体_GB2312"/>
          <w:b/>
          <w:sz w:val="32"/>
          <w:szCs w:val="32"/>
        </w:rPr>
        <w:t>（二）地方政府债务情况。</w:t>
      </w:r>
    </w:p>
    <w:p>
      <w:pPr>
        <w:adjustRightInd w:val="0"/>
        <w:snapToGrid w:val="0"/>
        <w:spacing w:line="600" w:lineRule="exact"/>
        <w:ind w:firstLine="640" w:firstLineChars="200"/>
        <w:rPr>
          <w:rFonts w:ascii="Times New Roman" w:hAnsi="Times New Roman" w:eastAsia="仿宋_GB2312"/>
          <w:sz w:val="32"/>
          <w:szCs w:val="32"/>
          <w:shd w:val="solid" w:color="FFFFFF" w:fill="FFFFFF"/>
        </w:rPr>
      </w:pPr>
      <w:r>
        <w:rPr>
          <w:rFonts w:ascii="Times New Roman" w:hAnsi="Times New Roman" w:eastAsia="仿宋_GB2312"/>
          <w:sz w:val="32"/>
          <w:szCs w:val="32"/>
          <w:shd w:val="solid" w:color="FFFFFF" w:fill="FFFFFF"/>
        </w:rPr>
        <w:t>2021</w:t>
      </w:r>
      <w:r>
        <w:rPr>
          <w:rFonts w:hint="eastAsia" w:ascii="Times New Roman" w:hAnsi="Times New Roman" w:eastAsia="仿宋_GB2312"/>
          <w:sz w:val="32"/>
          <w:szCs w:val="32"/>
          <w:shd w:val="solid" w:color="FFFFFF" w:fill="FFFFFF"/>
        </w:rPr>
        <w:t>年底，钒钛高新区地方政府债务余额</w:t>
      </w:r>
      <w:r>
        <w:rPr>
          <w:rFonts w:hint="eastAsia" w:ascii="Times New Roman" w:hAnsi="Times New Roman" w:eastAsia="仿宋_GB2312"/>
          <w:sz w:val="32"/>
          <w:szCs w:val="32"/>
        </w:rPr>
        <w:t>154987</w:t>
      </w:r>
      <w:r>
        <w:rPr>
          <w:rFonts w:hint="eastAsia" w:ascii="Times New Roman" w:hAnsi="Times New Roman" w:eastAsia="仿宋_GB2312"/>
          <w:sz w:val="32"/>
          <w:szCs w:val="32"/>
          <w:shd w:val="solid" w:color="FFFFFF" w:fill="FFFFFF"/>
        </w:rPr>
        <w:t>万元。</w:t>
      </w:r>
      <w:r>
        <w:rPr>
          <w:rFonts w:ascii="Times New Roman" w:hAnsi="Times New Roman" w:eastAsia="仿宋_GB2312"/>
          <w:sz w:val="32"/>
          <w:szCs w:val="32"/>
          <w:shd w:val="solid" w:color="FFFFFF" w:fill="FFFFFF"/>
        </w:rPr>
        <w:t>2022</w:t>
      </w:r>
      <w:r>
        <w:rPr>
          <w:rFonts w:hint="eastAsia" w:ascii="Times New Roman" w:hAnsi="Times New Roman" w:eastAsia="仿宋_GB2312"/>
          <w:sz w:val="32"/>
          <w:szCs w:val="32"/>
          <w:shd w:val="solid" w:color="FFFFFF" w:fill="FFFFFF"/>
        </w:rPr>
        <w:t>年新增债券</w:t>
      </w:r>
      <w:r>
        <w:rPr>
          <w:rFonts w:hint="eastAsia" w:ascii="Times New Roman" w:hAnsi="Times New Roman" w:eastAsia="仿宋_GB2312"/>
          <w:sz w:val="32"/>
          <w:szCs w:val="32"/>
        </w:rPr>
        <w:t>72020</w:t>
      </w:r>
      <w:r>
        <w:rPr>
          <w:rFonts w:hint="eastAsia" w:ascii="Times New Roman" w:hAnsi="Times New Roman" w:eastAsia="仿宋_GB2312"/>
          <w:sz w:val="32"/>
          <w:szCs w:val="32"/>
          <w:shd w:val="solid" w:color="FFFFFF" w:fill="FFFFFF"/>
        </w:rPr>
        <w:t>万元、再融资债券</w:t>
      </w:r>
      <w:r>
        <w:rPr>
          <w:rFonts w:ascii="Times New Roman" w:hAnsi="Times New Roman" w:eastAsia="仿宋_GB2312"/>
          <w:sz w:val="32"/>
          <w:szCs w:val="32"/>
        </w:rPr>
        <w:t>8790</w:t>
      </w:r>
      <w:r>
        <w:rPr>
          <w:rFonts w:hint="eastAsia" w:ascii="Times New Roman" w:hAnsi="Times New Roman" w:eastAsia="仿宋_GB2312"/>
          <w:sz w:val="32"/>
          <w:szCs w:val="32"/>
          <w:shd w:val="solid" w:color="FFFFFF" w:fill="FFFFFF"/>
        </w:rPr>
        <w:t>万元后，债务余额为</w:t>
      </w:r>
      <w:r>
        <w:rPr>
          <w:rFonts w:hint="eastAsia" w:ascii="Times New Roman" w:hAnsi="Times New Roman" w:eastAsia="仿宋_GB2312"/>
          <w:sz w:val="32"/>
          <w:szCs w:val="32"/>
        </w:rPr>
        <w:t>235797</w:t>
      </w:r>
      <w:r>
        <w:rPr>
          <w:rFonts w:hint="eastAsia" w:ascii="Times New Roman" w:hAnsi="Times New Roman" w:eastAsia="仿宋_GB2312"/>
          <w:sz w:val="32"/>
          <w:szCs w:val="32"/>
          <w:shd w:val="solid" w:color="FFFFFF" w:fill="FFFFFF"/>
        </w:rPr>
        <w:t>万元。钒钛高新区按期限落实偿还计划，有稳定偿还来源，地方政府债务风险总体可控。</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上预算执行情况提请本次会议审查批准。需要说明的是，以上预算执行情况是根据截至目前的执行情况预计的，在完成决算审查汇总并与省、市财政办理结算后将会有所变化，届时再向高新区党工委、管委会和人大常委会报告。</w:t>
      </w:r>
    </w:p>
    <w:p>
      <w:pPr>
        <w:adjustRightInd w:val="0"/>
        <w:snapToGrid w:val="0"/>
        <w:spacing w:line="600" w:lineRule="exact"/>
        <w:ind w:firstLine="640"/>
        <w:outlineLvl w:val="1"/>
        <w:rPr>
          <w:rFonts w:ascii="Times New Roman" w:hAnsi="Times New Roman" w:eastAsia="黑体"/>
          <w:sz w:val="32"/>
          <w:szCs w:val="32"/>
        </w:rPr>
      </w:pPr>
      <w:r>
        <w:rPr>
          <w:rFonts w:hint="eastAsia" w:ascii="Times New Roman" w:hAnsi="Times New Roman" w:eastAsia="黑体"/>
          <w:sz w:val="32"/>
          <w:szCs w:val="32"/>
        </w:rPr>
        <w:t>二、落实市人大预算决议和主要财政工作情况</w:t>
      </w:r>
    </w:p>
    <w:p>
      <w:pPr>
        <w:adjustRightInd w:val="0"/>
        <w:snapToGrid w:val="0"/>
        <w:spacing w:line="600" w:lineRule="exact"/>
        <w:ind w:firstLine="643"/>
        <w:rPr>
          <w:rFonts w:ascii="Times New Roman" w:hAnsi="Times New Roman" w:eastAsia="仿宋_GB2312"/>
          <w:sz w:val="32"/>
          <w:szCs w:val="32"/>
        </w:rPr>
      </w:pPr>
      <w:r>
        <w:rPr>
          <w:rFonts w:hint="eastAsia" w:ascii="Times New Roman" w:hAnsi="Times New Roman" w:eastAsia="楷体_GB2312"/>
          <w:b/>
          <w:sz w:val="32"/>
          <w:szCs w:val="32"/>
        </w:rPr>
        <w:t>（一）提升财政政策效能，全力服务发展大局。</w:t>
      </w:r>
      <w:r>
        <w:rPr>
          <w:rFonts w:hint="eastAsia" w:ascii="Times New Roman" w:hAnsi="Times New Roman" w:eastAsia="仿宋_GB2312"/>
          <w:sz w:val="32"/>
          <w:szCs w:val="32"/>
        </w:rPr>
        <w:t>面对巨大财政收支压力，</w:t>
      </w:r>
      <w:r>
        <w:rPr>
          <w:rFonts w:hint="eastAsia" w:ascii="Times New Roman" w:hAnsi="Times New Roman" w:eastAsia="仿宋_GB2312"/>
          <w:sz w:val="32"/>
          <w:szCs w:val="32"/>
          <w:shd w:val="solid" w:color="FFFFFF" w:fill="FFFFFF"/>
        </w:rPr>
        <w:t>钒钛高新区</w:t>
      </w:r>
      <w:r>
        <w:rPr>
          <w:rFonts w:hint="eastAsia" w:ascii="Times New Roman" w:hAnsi="Times New Roman" w:eastAsia="仿宋_GB2312"/>
          <w:sz w:val="32"/>
          <w:szCs w:val="32"/>
        </w:rPr>
        <w:t>始终保持定力，积极拓展增收空间，坚决推动积极的财政政策提质增效、更可持续。</w:t>
      </w:r>
    </w:p>
    <w:p>
      <w:pPr>
        <w:spacing w:line="600" w:lineRule="exact"/>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一是拓展发展资金来源。</w:t>
      </w:r>
      <w:r>
        <w:rPr>
          <w:rFonts w:hint="eastAsia" w:ascii="Times New Roman" w:hAnsi="Times New Roman" w:eastAsia="仿宋_GB2312"/>
          <w:sz w:val="32"/>
          <w:szCs w:val="32"/>
        </w:rPr>
        <w:t>积极应对减税降费政策实施形成的减收，规范挖掘非税收入增收潜力弥补税收减量，最大限度实现公共财政收入预期；全力稳住钒钛高新区政府性基金收入规模，顺利完成本年收入任务。强化债券项目</w:t>
      </w:r>
      <w:r>
        <w:rPr>
          <w:rFonts w:ascii="Times New Roman" w:hAnsi="Times New Roman" w:eastAsia="仿宋_GB2312"/>
          <w:sz w:val="32"/>
          <w:szCs w:val="32"/>
        </w:rPr>
        <w:t>“</w:t>
      </w:r>
      <w:r>
        <w:rPr>
          <w:rFonts w:hint="eastAsia" w:ascii="Times New Roman" w:hAnsi="Times New Roman" w:eastAsia="仿宋_GB2312"/>
          <w:sz w:val="32"/>
          <w:szCs w:val="32"/>
        </w:rPr>
        <w:t>全生命周期</w:t>
      </w:r>
      <w:r>
        <w:rPr>
          <w:rFonts w:ascii="Times New Roman" w:hAnsi="Times New Roman" w:eastAsia="仿宋_GB2312"/>
          <w:sz w:val="32"/>
          <w:szCs w:val="32"/>
        </w:rPr>
        <w:t>”</w:t>
      </w:r>
      <w:r>
        <w:rPr>
          <w:rFonts w:hint="eastAsia" w:ascii="Times New Roman" w:hAnsi="Times New Roman" w:eastAsia="仿宋_GB2312"/>
          <w:sz w:val="32"/>
          <w:szCs w:val="32"/>
        </w:rPr>
        <w:t>管理，做好项目储备、申报、争取和使用管理，共争取新增债券资金72020万元，截至目前，5个项目使用资金72000万元、使用进度达99.97</w:t>
      </w:r>
      <w:r>
        <w:rPr>
          <w:rFonts w:ascii="Times New Roman" w:hAnsi="Times New Roman" w:eastAsia="仿宋_GB2312"/>
          <w:sz w:val="32"/>
          <w:szCs w:val="32"/>
        </w:rPr>
        <w:t>%</w:t>
      </w:r>
      <w:r>
        <w:rPr>
          <w:rFonts w:hint="eastAsia" w:ascii="Times New Roman" w:hAnsi="Times New Roman" w:eastAsia="仿宋_GB2312"/>
          <w:sz w:val="32"/>
          <w:szCs w:val="32"/>
        </w:rPr>
        <w:t>，有力保障钒钛高新区基础设施、农林水利等领域重点建设资金需求。</w:t>
      </w:r>
    </w:p>
    <w:p>
      <w:pPr>
        <w:spacing w:line="600" w:lineRule="exact"/>
        <w:ind w:left="105" w:leftChars="50" w:firstLine="642" w:firstLineChars="200"/>
        <w:rPr>
          <w:rFonts w:ascii="Times New Roman" w:hAnsi="Times New Roman" w:eastAsia="仿宋_GB2312"/>
          <w:bCs/>
          <w:sz w:val="32"/>
          <w:szCs w:val="32"/>
        </w:rPr>
      </w:pPr>
      <w:r>
        <w:rPr>
          <w:rFonts w:hint="eastAsia" w:ascii="Times New Roman" w:hAnsi="Times New Roman" w:eastAsia="仿宋_GB2312"/>
          <w:b/>
          <w:sz w:val="32"/>
          <w:szCs w:val="32"/>
        </w:rPr>
        <w:t>二是竭力保障推动发展投入。</w:t>
      </w:r>
      <w:r>
        <w:rPr>
          <w:rFonts w:hint="eastAsia" w:ascii="Times New Roman" w:hAnsi="Times New Roman" w:eastAsia="仿宋_GB2312"/>
          <w:sz w:val="32"/>
          <w:szCs w:val="32"/>
        </w:rPr>
        <w:t>支持加大招商引资投入，支持签订招商意向协议</w:t>
      </w:r>
      <w:r>
        <w:rPr>
          <w:rFonts w:ascii="Times New Roman" w:hAnsi="Times New Roman" w:eastAsia="仿宋_GB2312"/>
          <w:sz w:val="32"/>
          <w:szCs w:val="32"/>
        </w:rPr>
        <w:t>25</w:t>
      </w:r>
      <w:r>
        <w:rPr>
          <w:rFonts w:hint="eastAsia" w:ascii="Times New Roman" w:hAnsi="Times New Roman" w:eastAsia="仿宋_GB2312"/>
          <w:sz w:val="32"/>
          <w:szCs w:val="32"/>
        </w:rPr>
        <w:t>个、吸引到位投资</w:t>
      </w:r>
      <w:r>
        <w:rPr>
          <w:rFonts w:ascii="Times New Roman" w:hAnsi="Times New Roman" w:eastAsia="仿宋_GB2312"/>
          <w:sz w:val="32"/>
          <w:szCs w:val="32"/>
        </w:rPr>
        <w:t>294</w:t>
      </w:r>
      <w:r>
        <w:rPr>
          <w:rFonts w:hint="eastAsia" w:ascii="Times New Roman" w:hAnsi="Times New Roman" w:eastAsia="仿宋_GB2312"/>
          <w:sz w:val="32"/>
          <w:szCs w:val="32"/>
        </w:rPr>
        <w:t>亿元。实施财政金融互动，调动资金</w:t>
      </w:r>
      <w:r>
        <w:rPr>
          <w:rFonts w:ascii="Times New Roman" w:hAnsi="Times New Roman" w:eastAsia="仿宋_GB2312"/>
          <w:sz w:val="32"/>
          <w:szCs w:val="32"/>
        </w:rPr>
        <w:t>300</w:t>
      </w:r>
      <w:r>
        <w:rPr>
          <w:rFonts w:hint="eastAsia" w:ascii="Times New Roman" w:hAnsi="Times New Roman" w:eastAsia="仿宋_GB2312"/>
          <w:sz w:val="32"/>
          <w:szCs w:val="32"/>
        </w:rPr>
        <w:t>万元用于“园保贷”项目，支持创业就业、降低融资成本。投入资金</w:t>
      </w:r>
      <w:r>
        <w:rPr>
          <w:rFonts w:ascii="Times New Roman" w:hAnsi="Times New Roman" w:eastAsia="仿宋_GB2312"/>
          <w:sz w:val="32"/>
          <w:szCs w:val="32"/>
        </w:rPr>
        <w:t>120</w:t>
      </w:r>
      <w:r>
        <w:rPr>
          <w:rFonts w:hint="eastAsia" w:ascii="Times New Roman" w:hAnsi="Times New Roman" w:eastAsia="仿宋_GB2312"/>
          <w:sz w:val="32"/>
          <w:szCs w:val="32"/>
        </w:rPr>
        <w:t>万元，实施农贸市场改造等项目</w:t>
      </w:r>
      <w:r>
        <w:rPr>
          <w:rFonts w:ascii="Times New Roman" w:hAnsi="Times New Roman" w:eastAsia="仿宋_GB2312"/>
          <w:sz w:val="32"/>
          <w:szCs w:val="32"/>
        </w:rPr>
        <w:t>12</w:t>
      </w:r>
      <w:r>
        <w:rPr>
          <w:rFonts w:hint="eastAsia" w:ascii="Times New Roman" w:hAnsi="Times New Roman" w:eastAsia="仿宋_GB2312"/>
          <w:sz w:val="32"/>
          <w:szCs w:val="32"/>
        </w:rPr>
        <w:t>个，为全国文明城市创建提供坚强保障。</w:t>
      </w:r>
    </w:p>
    <w:p>
      <w:pPr>
        <w:spacing w:line="600" w:lineRule="exact"/>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三是落实落细减税降费政策。</w:t>
      </w:r>
      <w:r>
        <w:rPr>
          <w:rFonts w:hint="eastAsia" w:ascii="Times New Roman" w:hAnsi="Times New Roman" w:eastAsia="仿宋_GB2312"/>
          <w:sz w:val="32"/>
          <w:szCs w:val="32"/>
        </w:rPr>
        <w:t>建立财税银协同机制，不折不扣执行《财政部</w:t>
      </w:r>
      <w:r>
        <w:rPr>
          <w:rFonts w:ascii="Times New Roman" w:hAnsi="Times New Roman" w:eastAsia="仿宋_GB2312"/>
          <w:sz w:val="32"/>
          <w:szCs w:val="32"/>
        </w:rPr>
        <w:t xml:space="preserve"> </w:t>
      </w:r>
      <w:r>
        <w:rPr>
          <w:rFonts w:hint="eastAsia" w:ascii="Times New Roman" w:hAnsi="Times New Roman" w:eastAsia="仿宋_GB2312"/>
          <w:sz w:val="32"/>
          <w:szCs w:val="32"/>
        </w:rPr>
        <w:t>税务总局关于进一步加大增值税期末留抵退税政策实施力度的公告》（财政部</w:t>
      </w:r>
      <w:r>
        <w:rPr>
          <w:rFonts w:ascii="Times New Roman" w:hAnsi="Times New Roman" w:eastAsia="仿宋_GB2312"/>
          <w:sz w:val="32"/>
          <w:szCs w:val="32"/>
        </w:rPr>
        <w:t xml:space="preserve"> </w:t>
      </w:r>
      <w:r>
        <w:rPr>
          <w:rFonts w:hint="eastAsia" w:ascii="Times New Roman" w:hAnsi="Times New Roman" w:eastAsia="仿宋_GB2312"/>
          <w:sz w:val="32"/>
          <w:szCs w:val="32"/>
        </w:rPr>
        <w:t>税务总局公告</w:t>
      </w:r>
      <w:r>
        <w:rPr>
          <w:rFonts w:ascii="Times New Roman" w:hAnsi="Times New Roman" w:eastAsia="仿宋_GB2312"/>
          <w:sz w:val="32"/>
          <w:szCs w:val="32"/>
        </w:rPr>
        <w:t>2022</w:t>
      </w:r>
      <w:r>
        <w:rPr>
          <w:rFonts w:hint="eastAsia" w:ascii="Times New Roman" w:hAnsi="Times New Roman" w:eastAsia="仿宋_GB2312"/>
          <w:sz w:val="32"/>
          <w:szCs w:val="32"/>
        </w:rPr>
        <w:t>年第</w:t>
      </w:r>
      <w:r>
        <w:rPr>
          <w:rFonts w:ascii="Times New Roman" w:hAnsi="Times New Roman" w:eastAsia="仿宋_GB2312"/>
          <w:sz w:val="32"/>
          <w:szCs w:val="32"/>
        </w:rPr>
        <w:t>14</w:t>
      </w:r>
      <w:r>
        <w:rPr>
          <w:rFonts w:hint="eastAsia" w:ascii="Times New Roman" w:hAnsi="Times New Roman" w:eastAsia="仿宋_GB2312"/>
          <w:sz w:val="32"/>
          <w:szCs w:val="32"/>
        </w:rPr>
        <w:t>号）、《财政部</w:t>
      </w:r>
      <w:r>
        <w:rPr>
          <w:rFonts w:ascii="Times New Roman" w:hAnsi="Times New Roman" w:eastAsia="仿宋_GB2312"/>
          <w:sz w:val="32"/>
          <w:szCs w:val="32"/>
        </w:rPr>
        <w:t xml:space="preserve"> </w:t>
      </w:r>
      <w:r>
        <w:rPr>
          <w:rFonts w:hint="eastAsia" w:ascii="Times New Roman" w:hAnsi="Times New Roman" w:eastAsia="仿宋_GB2312"/>
          <w:sz w:val="32"/>
          <w:szCs w:val="32"/>
        </w:rPr>
        <w:t>税务总局关于进一步加快增值税期末留抵退税政策实施进度的公告》（财政部</w:t>
      </w:r>
      <w:r>
        <w:rPr>
          <w:rFonts w:ascii="Times New Roman" w:hAnsi="Times New Roman" w:eastAsia="仿宋_GB2312"/>
          <w:sz w:val="32"/>
          <w:szCs w:val="32"/>
        </w:rPr>
        <w:t xml:space="preserve"> </w:t>
      </w:r>
      <w:r>
        <w:rPr>
          <w:rFonts w:hint="eastAsia" w:ascii="Times New Roman" w:hAnsi="Times New Roman" w:eastAsia="仿宋_GB2312"/>
          <w:sz w:val="32"/>
          <w:szCs w:val="32"/>
        </w:rPr>
        <w:t>税务总局公告</w:t>
      </w:r>
      <w:r>
        <w:rPr>
          <w:rFonts w:ascii="Times New Roman" w:hAnsi="Times New Roman" w:eastAsia="仿宋_GB2312"/>
          <w:sz w:val="32"/>
          <w:szCs w:val="32"/>
        </w:rPr>
        <w:t>2022</w:t>
      </w:r>
      <w:r>
        <w:rPr>
          <w:rFonts w:hint="eastAsia" w:ascii="Times New Roman" w:hAnsi="Times New Roman" w:eastAsia="仿宋_GB2312"/>
          <w:sz w:val="32"/>
          <w:szCs w:val="32"/>
        </w:rPr>
        <w:t>年第</w:t>
      </w:r>
      <w:r>
        <w:rPr>
          <w:rFonts w:ascii="Times New Roman" w:hAnsi="Times New Roman" w:eastAsia="仿宋_GB2312"/>
          <w:sz w:val="32"/>
          <w:szCs w:val="32"/>
        </w:rPr>
        <w:t>17</w:t>
      </w:r>
      <w:r>
        <w:rPr>
          <w:rFonts w:hint="eastAsia" w:ascii="Times New Roman" w:hAnsi="Times New Roman" w:eastAsia="仿宋_GB2312"/>
          <w:sz w:val="32"/>
          <w:szCs w:val="32"/>
        </w:rPr>
        <w:t>号）、《财政部</w:t>
      </w:r>
      <w:r>
        <w:rPr>
          <w:rFonts w:ascii="Times New Roman" w:hAnsi="Times New Roman" w:eastAsia="仿宋_GB2312"/>
          <w:sz w:val="32"/>
          <w:szCs w:val="32"/>
        </w:rPr>
        <w:t xml:space="preserve"> </w:t>
      </w:r>
      <w:r>
        <w:rPr>
          <w:rFonts w:hint="eastAsia" w:ascii="Times New Roman" w:hAnsi="Times New Roman" w:eastAsia="仿宋_GB2312"/>
          <w:sz w:val="32"/>
          <w:szCs w:val="32"/>
        </w:rPr>
        <w:t>税务总局关于进一步持续加快增值税期末留抵退税政策实施进度的公告》（财政部</w:t>
      </w:r>
      <w:r>
        <w:rPr>
          <w:rFonts w:ascii="Times New Roman" w:hAnsi="Times New Roman" w:eastAsia="仿宋_GB2312"/>
          <w:sz w:val="32"/>
          <w:szCs w:val="32"/>
        </w:rPr>
        <w:t xml:space="preserve"> </w:t>
      </w:r>
      <w:r>
        <w:rPr>
          <w:rFonts w:hint="eastAsia" w:ascii="Times New Roman" w:hAnsi="Times New Roman" w:eastAsia="仿宋_GB2312"/>
          <w:sz w:val="32"/>
          <w:szCs w:val="32"/>
        </w:rPr>
        <w:t>税务总局公告</w:t>
      </w:r>
      <w:r>
        <w:rPr>
          <w:rFonts w:ascii="Times New Roman" w:hAnsi="Times New Roman" w:eastAsia="仿宋_GB2312"/>
          <w:sz w:val="32"/>
          <w:szCs w:val="32"/>
        </w:rPr>
        <w:t>2022</w:t>
      </w:r>
      <w:r>
        <w:rPr>
          <w:rFonts w:hint="eastAsia" w:ascii="Times New Roman" w:hAnsi="Times New Roman" w:eastAsia="仿宋_GB2312"/>
          <w:sz w:val="32"/>
          <w:szCs w:val="32"/>
        </w:rPr>
        <w:t>年第</w:t>
      </w:r>
      <w:r>
        <w:rPr>
          <w:rFonts w:ascii="Times New Roman" w:hAnsi="Times New Roman" w:eastAsia="仿宋_GB2312"/>
          <w:sz w:val="32"/>
          <w:szCs w:val="32"/>
        </w:rPr>
        <w:t>19</w:t>
      </w:r>
      <w:r>
        <w:rPr>
          <w:rFonts w:hint="eastAsia" w:ascii="Times New Roman" w:hAnsi="Times New Roman" w:eastAsia="仿宋_GB2312"/>
          <w:sz w:val="32"/>
          <w:szCs w:val="32"/>
        </w:rPr>
        <w:t>号）等组合式税费支持政策，减轻税费负担</w:t>
      </w:r>
      <w:r>
        <w:rPr>
          <w:rFonts w:ascii="Times New Roman" w:hAnsi="Times New Roman" w:eastAsia="仿宋_GB2312"/>
          <w:sz w:val="32"/>
          <w:szCs w:val="32"/>
        </w:rPr>
        <w:t>29000</w:t>
      </w:r>
      <w:r>
        <w:rPr>
          <w:rFonts w:hint="eastAsia" w:ascii="Times New Roman" w:hAnsi="Times New Roman" w:eastAsia="仿宋_GB2312"/>
          <w:sz w:val="32"/>
          <w:szCs w:val="32"/>
        </w:rPr>
        <w:t>万元，惠及企业和纳税人</w:t>
      </w:r>
      <w:r>
        <w:rPr>
          <w:rFonts w:ascii="Times New Roman" w:hAnsi="Times New Roman" w:eastAsia="仿宋_GB2312"/>
          <w:sz w:val="32"/>
          <w:szCs w:val="32"/>
        </w:rPr>
        <w:t>134</w:t>
      </w:r>
      <w:r>
        <w:rPr>
          <w:rFonts w:hint="eastAsia" w:ascii="Times New Roman" w:hAnsi="Times New Roman" w:eastAsia="仿宋_GB2312"/>
          <w:sz w:val="32"/>
          <w:szCs w:val="32"/>
        </w:rPr>
        <w:t>户，有效缓解企业资金压力、降低企业生产经营负担、增强发展内生动力，为各类市场主体健康发展提供坚实保障。钒钛高新区税收共因增值税留抵退税减收</w:t>
      </w:r>
      <w:r>
        <w:rPr>
          <w:rFonts w:ascii="Times New Roman" w:hAnsi="Times New Roman" w:eastAsia="仿宋_GB2312"/>
          <w:sz w:val="32"/>
          <w:szCs w:val="32"/>
        </w:rPr>
        <w:t>3000</w:t>
      </w:r>
      <w:r>
        <w:rPr>
          <w:rFonts w:hint="eastAsia" w:ascii="Times New Roman" w:hAnsi="Times New Roman" w:eastAsia="仿宋_GB2312"/>
          <w:sz w:val="32"/>
          <w:szCs w:val="32"/>
        </w:rPr>
        <w:t>万元。</w:t>
      </w:r>
    </w:p>
    <w:p>
      <w:pPr>
        <w:adjustRightInd w:val="0"/>
        <w:snapToGrid w:val="0"/>
        <w:spacing w:line="600" w:lineRule="exact"/>
        <w:ind w:firstLine="643"/>
        <w:rPr>
          <w:rFonts w:ascii="Times New Roman" w:hAnsi="Times New Roman" w:eastAsia="仿宋_GB2312"/>
          <w:sz w:val="32"/>
          <w:szCs w:val="32"/>
        </w:rPr>
      </w:pPr>
      <w:r>
        <w:rPr>
          <w:rFonts w:hint="eastAsia" w:ascii="Times New Roman" w:hAnsi="Times New Roman" w:eastAsia="楷体_GB2312"/>
          <w:b/>
          <w:sz w:val="32"/>
          <w:szCs w:val="32"/>
        </w:rPr>
        <w:t>（二）聚焦民生民本民意，增强重点领域保障能力。</w:t>
      </w:r>
    </w:p>
    <w:p>
      <w:pPr>
        <w:adjustRightInd w:val="0"/>
        <w:snapToGrid w:val="0"/>
        <w:spacing w:line="600"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一是支持筑牢人民群众健康防线。</w:t>
      </w:r>
      <w:r>
        <w:rPr>
          <w:rFonts w:hint="eastAsia" w:ascii="Times New Roman" w:hAnsi="Times New Roman" w:eastAsia="仿宋_GB2312"/>
          <w:sz w:val="32"/>
          <w:szCs w:val="32"/>
        </w:rPr>
        <w:t>强化疫情防控经费保障，开通资金拨付绿色通道，研究制定全员核酸、医疗救治、医护人员补助、防控卡点建设等补助政策，钒钛高新区财政投入疫情防控资金520万元，开展全员免费核酸</w:t>
      </w:r>
      <w:r>
        <w:rPr>
          <w:rFonts w:ascii="Times New Roman" w:hAnsi="Times New Roman" w:eastAsia="仿宋_GB2312"/>
          <w:sz w:val="32"/>
          <w:szCs w:val="32"/>
        </w:rPr>
        <w:t>12轮</w:t>
      </w:r>
      <w:r>
        <w:rPr>
          <w:rFonts w:hint="eastAsia" w:ascii="Times New Roman" w:hAnsi="Times New Roman" w:eastAsia="仿宋_GB2312"/>
          <w:sz w:val="32"/>
          <w:szCs w:val="32"/>
        </w:rPr>
        <w:t>次、免费接种</w:t>
      </w:r>
      <w:r>
        <w:rPr>
          <w:rFonts w:ascii="Times New Roman" w:hAnsi="Times New Roman" w:eastAsia="仿宋_GB2312"/>
          <w:sz w:val="32"/>
          <w:szCs w:val="32"/>
        </w:rPr>
        <w:t>3744</w:t>
      </w:r>
      <w:r>
        <w:rPr>
          <w:rFonts w:hint="eastAsia" w:ascii="Times New Roman" w:hAnsi="Times New Roman" w:eastAsia="仿宋_GB2312"/>
          <w:sz w:val="32"/>
          <w:szCs w:val="32"/>
        </w:rPr>
        <w:t>剂、入川（攀）即检约</w:t>
      </w:r>
      <w:r>
        <w:rPr>
          <w:rFonts w:ascii="Times New Roman" w:hAnsi="Times New Roman" w:eastAsia="仿宋_GB2312"/>
          <w:sz w:val="32"/>
          <w:szCs w:val="32"/>
        </w:rPr>
        <w:t>50</w:t>
      </w:r>
      <w:r>
        <w:rPr>
          <w:rFonts w:hint="eastAsia" w:ascii="Times New Roman" w:hAnsi="Times New Roman" w:eastAsia="仿宋_GB2312"/>
          <w:sz w:val="32"/>
          <w:szCs w:val="32"/>
        </w:rPr>
        <w:t>万人次，建设方舱隔离点（医院）</w:t>
      </w:r>
      <w:r>
        <w:rPr>
          <w:rFonts w:ascii="Times New Roman" w:hAnsi="Times New Roman" w:eastAsia="仿宋_GB2312"/>
          <w:sz w:val="32"/>
          <w:szCs w:val="32"/>
        </w:rPr>
        <w:t>1</w:t>
      </w:r>
      <w:r>
        <w:rPr>
          <w:rFonts w:hint="eastAsia" w:ascii="Times New Roman" w:hAnsi="Times New Roman" w:eastAsia="仿宋_GB2312"/>
          <w:sz w:val="32"/>
          <w:szCs w:val="32"/>
        </w:rPr>
        <w:t>个，推动核酸检测、疫情处置及防控能力提升。</w:t>
      </w:r>
    </w:p>
    <w:p>
      <w:pPr>
        <w:widowControl/>
        <w:spacing w:line="600" w:lineRule="exact"/>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二是支持提升社会保障水平。</w:t>
      </w:r>
      <w:r>
        <w:rPr>
          <w:rFonts w:hint="eastAsia" w:ascii="Times New Roman" w:hAnsi="Times New Roman" w:eastAsia="仿宋_GB2312"/>
          <w:bCs/>
          <w:sz w:val="32"/>
          <w:szCs w:val="32"/>
        </w:rPr>
        <w:t>统筹资金</w:t>
      </w:r>
      <w:r>
        <w:rPr>
          <w:rFonts w:ascii="Times New Roman" w:hAnsi="Times New Roman" w:eastAsia="仿宋_GB2312"/>
          <w:bCs/>
          <w:sz w:val="32"/>
          <w:szCs w:val="32"/>
        </w:rPr>
        <w:t>207</w:t>
      </w:r>
      <w:r>
        <w:rPr>
          <w:rFonts w:hint="eastAsia" w:ascii="Times New Roman" w:hAnsi="Times New Roman" w:eastAsia="仿宋_GB2312"/>
          <w:bCs/>
          <w:sz w:val="32"/>
          <w:szCs w:val="32"/>
        </w:rPr>
        <w:t>万元</w:t>
      </w:r>
      <w:r>
        <w:rPr>
          <w:rFonts w:hint="eastAsia" w:ascii="Times New Roman" w:hAnsi="Times New Roman" w:eastAsia="仿宋_GB2312"/>
          <w:sz w:val="32"/>
          <w:szCs w:val="32"/>
        </w:rPr>
        <w:t>推进保障性安居工程建设，实施城镇老旧小区改造</w:t>
      </w:r>
      <w:r>
        <w:rPr>
          <w:rFonts w:ascii="Times New Roman" w:hAnsi="Times New Roman" w:eastAsia="仿宋_GB2312"/>
          <w:sz w:val="32"/>
          <w:szCs w:val="32"/>
        </w:rPr>
        <w:t>2</w:t>
      </w:r>
      <w:r>
        <w:rPr>
          <w:rFonts w:hint="eastAsia" w:ascii="Times New Roman" w:hAnsi="Times New Roman" w:eastAsia="仿宋_GB2312"/>
          <w:sz w:val="32"/>
          <w:szCs w:val="32"/>
        </w:rPr>
        <w:t>个，涉及居民</w:t>
      </w:r>
      <w:r>
        <w:rPr>
          <w:rFonts w:ascii="Times New Roman" w:hAnsi="Times New Roman" w:eastAsia="仿宋_GB2312"/>
          <w:sz w:val="32"/>
          <w:szCs w:val="32"/>
        </w:rPr>
        <w:t>336</w:t>
      </w:r>
      <w:r>
        <w:rPr>
          <w:rFonts w:hint="eastAsia" w:ascii="Times New Roman" w:hAnsi="Times New Roman" w:eastAsia="仿宋_GB2312"/>
          <w:sz w:val="32"/>
          <w:szCs w:val="32"/>
        </w:rPr>
        <w:t>户，改善低收入群体居住条件和人居环境。</w:t>
      </w:r>
    </w:p>
    <w:p>
      <w:pPr>
        <w:adjustRightInd w:val="0"/>
        <w:snapToGrid w:val="0"/>
        <w:spacing w:line="600" w:lineRule="exact"/>
        <w:ind w:firstLine="642" w:firstLineChars="200"/>
        <w:rPr>
          <w:rFonts w:ascii="Times New Roman" w:hAnsi="Times New Roman" w:eastAsia="仿宋_GB2312"/>
          <w:b/>
          <w:sz w:val="32"/>
          <w:szCs w:val="32"/>
        </w:rPr>
      </w:pPr>
      <w:r>
        <w:rPr>
          <w:rFonts w:hint="eastAsia" w:ascii="Times New Roman" w:hAnsi="Times New Roman" w:eastAsia="仿宋_GB2312"/>
          <w:b/>
          <w:sz w:val="32"/>
          <w:szCs w:val="32"/>
        </w:rPr>
        <w:t>三是支持教育体育文化事业健康发展。</w:t>
      </w:r>
      <w:r>
        <w:rPr>
          <w:rFonts w:hint="eastAsia" w:ascii="Times New Roman" w:hAnsi="Times New Roman" w:eastAsia="仿宋_GB2312"/>
          <w:sz w:val="32"/>
          <w:szCs w:val="32"/>
        </w:rPr>
        <w:t>投入65万元为</w:t>
      </w:r>
      <w:r>
        <w:rPr>
          <w:rFonts w:ascii="Times New Roman" w:hAnsi="Times New Roman" w:eastAsia="仿宋_GB2312"/>
          <w:sz w:val="32"/>
          <w:szCs w:val="32"/>
        </w:rPr>
        <w:t>715</w:t>
      </w:r>
      <w:r>
        <w:rPr>
          <w:rFonts w:hint="eastAsia" w:ascii="Times New Roman" w:hAnsi="Times New Roman" w:eastAsia="仿宋_GB2312"/>
          <w:sz w:val="32"/>
          <w:szCs w:val="32"/>
        </w:rPr>
        <w:t>名义务教育学生提供膳食补助，投入30.44万元支持</w:t>
      </w:r>
      <w:r>
        <w:rPr>
          <w:rFonts w:ascii="Times New Roman" w:hAnsi="Times New Roman" w:eastAsia="仿宋_GB2312"/>
          <w:sz w:val="32"/>
          <w:szCs w:val="32"/>
        </w:rPr>
        <w:t>346</w:t>
      </w:r>
      <w:r>
        <w:rPr>
          <w:rFonts w:hint="eastAsia" w:ascii="Times New Roman" w:hAnsi="Times New Roman" w:eastAsia="仿宋_GB2312"/>
          <w:sz w:val="32"/>
          <w:szCs w:val="32"/>
        </w:rPr>
        <w:t>名进城务工人员随迁子女就近入学等，教育体育文化总体投入财政资金达1909万元，。</w:t>
      </w:r>
    </w:p>
    <w:p>
      <w:pPr>
        <w:spacing w:line="560" w:lineRule="exact"/>
        <w:ind w:firstLine="643"/>
        <w:rPr>
          <w:rFonts w:ascii="Times New Roman" w:hAnsi="Times New Roman" w:eastAsia="仿宋_GB2312"/>
          <w:bCs/>
          <w:sz w:val="32"/>
          <w:szCs w:val="32"/>
        </w:rPr>
      </w:pPr>
      <w:r>
        <w:rPr>
          <w:rFonts w:hint="eastAsia" w:ascii="Times New Roman" w:hAnsi="Times New Roman" w:eastAsia="楷体_GB2312"/>
          <w:b/>
          <w:sz w:val="32"/>
          <w:szCs w:val="32"/>
        </w:rPr>
        <w:t>（三）防范财政运行风险，守住财政安全底线。</w:t>
      </w:r>
      <w:r>
        <w:rPr>
          <w:rFonts w:hint="eastAsia" w:ascii="Times New Roman" w:hAnsi="Times New Roman" w:eastAsia="仿宋_GB2312"/>
          <w:bCs/>
          <w:sz w:val="32"/>
          <w:szCs w:val="32"/>
        </w:rPr>
        <w:t>坚持底线思维，突出问题导向，严肃财经纪律，做好财政运行风险防范、应对和处置，促进</w:t>
      </w:r>
      <w:r>
        <w:rPr>
          <w:rFonts w:hint="eastAsia" w:ascii="Times New Roman" w:hAnsi="Times New Roman" w:eastAsia="仿宋_GB2312"/>
          <w:sz w:val="32"/>
          <w:szCs w:val="32"/>
          <w:shd w:val="solid" w:color="FFFFFF" w:fill="FFFFFF"/>
        </w:rPr>
        <w:t>钒钛高新区</w:t>
      </w:r>
      <w:r>
        <w:rPr>
          <w:rFonts w:hint="eastAsia" w:ascii="Times New Roman" w:hAnsi="Times New Roman" w:eastAsia="仿宋_GB2312"/>
          <w:bCs/>
          <w:sz w:val="32"/>
          <w:szCs w:val="32"/>
        </w:rPr>
        <w:t>财政平稳运行，守住不发生系统性区域性财政风险的底线，促进</w:t>
      </w:r>
      <w:r>
        <w:rPr>
          <w:rFonts w:hint="eastAsia" w:ascii="Times New Roman" w:hAnsi="Times New Roman" w:eastAsia="仿宋_GB2312"/>
          <w:sz w:val="32"/>
          <w:szCs w:val="32"/>
          <w:shd w:val="solid" w:color="FFFFFF" w:fill="FFFFFF"/>
        </w:rPr>
        <w:t>钒钛高新区</w:t>
      </w:r>
      <w:r>
        <w:rPr>
          <w:rFonts w:hint="eastAsia" w:ascii="Times New Roman" w:hAnsi="Times New Roman" w:eastAsia="仿宋_GB2312"/>
          <w:bCs/>
          <w:sz w:val="32"/>
          <w:szCs w:val="32"/>
        </w:rPr>
        <w:t>经济持续健康发展和社会大局稳定。加强财政投资评审，</w:t>
      </w:r>
      <w:r>
        <w:rPr>
          <w:rFonts w:eastAsia="仿宋_GB2312"/>
          <w:sz w:val="32"/>
          <w:szCs w:val="32"/>
        </w:rPr>
        <w:t>2021</w:t>
      </w:r>
      <w:r>
        <w:rPr>
          <w:rFonts w:hint="eastAsia" w:eastAsia="仿宋_GB2312"/>
          <w:sz w:val="32"/>
          <w:szCs w:val="32"/>
        </w:rPr>
        <w:t>年评审项目21个，送审资金40865万元，审定资金37358万元，审减资金3506万元，综合审减率8.59</w:t>
      </w:r>
      <w:r>
        <w:rPr>
          <w:rFonts w:eastAsia="仿宋_GB2312"/>
          <w:sz w:val="32"/>
          <w:szCs w:val="32"/>
        </w:rPr>
        <w:t xml:space="preserve">% </w:t>
      </w:r>
      <w:r>
        <w:rPr>
          <w:rFonts w:hint="eastAsia" w:eastAsia="仿宋_GB2312"/>
          <w:sz w:val="32"/>
          <w:szCs w:val="32"/>
        </w:rPr>
        <w:t>。</w:t>
      </w:r>
    </w:p>
    <w:p>
      <w:pPr>
        <w:adjustRightInd w:val="0"/>
        <w:snapToGrid w:val="0"/>
        <w:spacing w:line="600" w:lineRule="exact"/>
        <w:ind w:firstLine="632" w:firstLineChars="197"/>
        <w:rPr>
          <w:rFonts w:ascii="Times New Roman" w:hAnsi="Times New Roman" w:eastAsia="仿宋_GB2312"/>
          <w:bCs/>
          <w:sz w:val="32"/>
          <w:szCs w:val="32"/>
        </w:rPr>
      </w:pPr>
      <w:r>
        <w:rPr>
          <w:rFonts w:hint="eastAsia" w:ascii="Times New Roman" w:hAnsi="Times New Roman" w:eastAsia="仿宋_GB2312"/>
          <w:b/>
          <w:sz w:val="32"/>
          <w:szCs w:val="32"/>
        </w:rPr>
        <w:t>一是全力兜牢</w:t>
      </w:r>
      <w:r>
        <w:rPr>
          <w:rFonts w:ascii="Times New Roman" w:hAnsi="Times New Roman" w:eastAsia="仿宋_GB2312"/>
          <w:b/>
          <w:sz w:val="32"/>
          <w:szCs w:val="32"/>
        </w:rPr>
        <w:t>“</w:t>
      </w:r>
      <w:r>
        <w:rPr>
          <w:rFonts w:hint="eastAsia" w:ascii="Times New Roman" w:hAnsi="Times New Roman" w:eastAsia="仿宋_GB2312"/>
          <w:b/>
          <w:sz w:val="32"/>
          <w:szCs w:val="32"/>
        </w:rPr>
        <w:t>三保</w:t>
      </w:r>
      <w:r>
        <w:rPr>
          <w:rFonts w:ascii="Times New Roman" w:hAnsi="Times New Roman" w:eastAsia="仿宋_GB2312"/>
          <w:b/>
          <w:sz w:val="32"/>
          <w:szCs w:val="32"/>
        </w:rPr>
        <w:t>”</w:t>
      </w:r>
      <w:r>
        <w:rPr>
          <w:rFonts w:hint="eastAsia" w:ascii="Times New Roman" w:hAnsi="Times New Roman" w:eastAsia="仿宋_GB2312"/>
          <w:b/>
          <w:sz w:val="32"/>
          <w:szCs w:val="32"/>
        </w:rPr>
        <w:t>支出底线。</w:t>
      </w:r>
      <w:r>
        <w:rPr>
          <w:rFonts w:hint="eastAsia" w:ascii="Times New Roman" w:hAnsi="Times New Roman" w:eastAsia="仿宋_GB2312"/>
          <w:sz w:val="32"/>
          <w:szCs w:val="32"/>
        </w:rPr>
        <w:t>把</w:t>
      </w:r>
      <w:r>
        <w:rPr>
          <w:rFonts w:ascii="Times New Roman" w:hAnsi="Times New Roman" w:eastAsia="仿宋_GB2312"/>
          <w:sz w:val="32"/>
          <w:szCs w:val="32"/>
        </w:rPr>
        <w:t>“</w:t>
      </w:r>
      <w:r>
        <w:rPr>
          <w:rFonts w:hint="eastAsia" w:ascii="Times New Roman" w:hAnsi="Times New Roman" w:eastAsia="仿宋_GB2312"/>
          <w:sz w:val="32"/>
          <w:szCs w:val="32"/>
        </w:rPr>
        <w:t>保基本民生、保工资、保运转</w:t>
      </w:r>
      <w:r>
        <w:rPr>
          <w:rFonts w:ascii="Times New Roman" w:hAnsi="Times New Roman" w:eastAsia="仿宋_GB2312"/>
          <w:sz w:val="32"/>
          <w:szCs w:val="32"/>
        </w:rPr>
        <w:t>”</w:t>
      </w:r>
      <w:r>
        <w:rPr>
          <w:rFonts w:hint="eastAsia" w:ascii="Times New Roman" w:hAnsi="Times New Roman" w:eastAsia="仿宋_GB2312"/>
          <w:sz w:val="32"/>
          <w:szCs w:val="32"/>
        </w:rPr>
        <w:t>作为财政保障重中之重，完善</w:t>
      </w:r>
      <w:r>
        <w:rPr>
          <w:rFonts w:ascii="Times New Roman" w:hAnsi="Times New Roman" w:eastAsia="仿宋_GB2312"/>
          <w:sz w:val="32"/>
          <w:szCs w:val="32"/>
        </w:rPr>
        <w:t>“</w:t>
      </w:r>
      <w:r>
        <w:rPr>
          <w:rFonts w:hint="eastAsia" w:ascii="Times New Roman" w:hAnsi="Times New Roman" w:eastAsia="仿宋_GB2312"/>
          <w:sz w:val="32"/>
          <w:szCs w:val="32"/>
        </w:rPr>
        <w:t>三保</w:t>
      </w:r>
      <w:r>
        <w:rPr>
          <w:rFonts w:ascii="Times New Roman" w:hAnsi="Times New Roman" w:eastAsia="仿宋_GB2312"/>
          <w:sz w:val="32"/>
          <w:szCs w:val="32"/>
        </w:rPr>
        <w:t>”</w:t>
      </w:r>
      <w:r>
        <w:rPr>
          <w:rFonts w:hint="eastAsia" w:ascii="Times New Roman" w:hAnsi="Times New Roman" w:eastAsia="仿宋_GB2312"/>
          <w:sz w:val="32"/>
          <w:szCs w:val="32"/>
        </w:rPr>
        <w:t>支出预算单编、库款运行监测通报、资金统筹调度等制度，逐月跟踪地方财政</w:t>
      </w:r>
      <w:r>
        <w:rPr>
          <w:rFonts w:ascii="Times New Roman" w:hAnsi="Times New Roman" w:eastAsia="仿宋_GB2312"/>
          <w:sz w:val="32"/>
          <w:szCs w:val="32"/>
        </w:rPr>
        <w:t>“</w:t>
      </w:r>
      <w:r>
        <w:rPr>
          <w:rFonts w:hint="eastAsia" w:ascii="Times New Roman" w:hAnsi="Times New Roman" w:eastAsia="仿宋_GB2312"/>
          <w:sz w:val="32"/>
          <w:szCs w:val="32"/>
        </w:rPr>
        <w:t>三保</w:t>
      </w:r>
      <w:r>
        <w:rPr>
          <w:rFonts w:ascii="Times New Roman" w:hAnsi="Times New Roman" w:eastAsia="仿宋_GB2312"/>
          <w:sz w:val="32"/>
          <w:szCs w:val="32"/>
        </w:rPr>
        <w:t>”</w:t>
      </w:r>
      <w:r>
        <w:rPr>
          <w:rFonts w:hint="eastAsia" w:ascii="Times New Roman" w:hAnsi="Times New Roman" w:eastAsia="仿宋_GB2312"/>
          <w:sz w:val="32"/>
          <w:szCs w:val="32"/>
        </w:rPr>
        <w:t>可用财力，坚持</w:t>
      </w:r>
      <w:r>
        <w:rPr>
          <w:rFonts w:ascii="Times New Roman" w:hAnsi="Times New Roman" w:eastAsia="仿宋_GB2312"/>
          <w:sz w:val="32"/>
          <w:szCs w:val="32"/>
        </w:rPr>
        <w:t>“</w:t>
      </w:r>
      <w:r>
        <w:rPr>
          <w:rFonts w:hint="eastAsia" w:ascii="Times New Roman" w:hAnsi="Times New Roman" w:eastAsia="仿宋_GB2312"/>
          <w:sz w:val="32"/>
          <w:szCs w:val="32"/>
        </w:rPr>
        <w:t>三保</w:t>
      </w:r>
      <w:r>
        <w:rPr>
          <w:rFonts w:ascii="Times New Roman" w:hAnsi="Times New Roman" w:eastAsia="仿宋_GB2312"/>
          <w:sz w:val="32"/>
          <w:szCs w:val="32"/>
        </w:rPr>
        <w:t>”</w:t>
      </w:r>
      <w:r>
        <w:rPr>
          <w:rFonts w:hint="eastAsia" w:ascii="Times New Roman" w:hAnsi="Times New Roman" w:eastAsia="仿宋_GB2312"/>
          <w:sz w:val="32"/>
          <w:szCs w:val="32"/>
        </w:rPr>
        <w:t>支出优先序列，系统提升</w:t>
      </w:r>
      <w:r>
        <w:rPr>
          <w:rFonts w:ascii="Times New Roman" w:hAnsi="Times New Roman" w:eastAsia="仿宋_GB2312"/>
          <w:sz w:val="32"/>
          <w:szCs w:val="32"/>
        </w:rPr>
        <w:t>“</w:t>
      </w:r>
      <w:r>
        <w:rPr>
          <w:rFonts w:hint="eastAsia" w:ascii="Times New Roman" w:hAnsi="Times New Roman" w:eastAsia="仿宋_GB2312"/>
          <w:sz w:val="32"/>
          <w:szCs w:val="32"/>
        </w:rPr>
        <w:t>三保</w:t>
      </w:r>
      <w:r>
        <w:rPr>
          <w:rFonts w:ascii="Times New Roman" w:hAnsi="Times New Roman" w:eastAsia="仿宋_GB2312"/>
          <w:sz w:val="32"/>
          <w:szCs w:val="32"/>
        </w:rPr>
        <w:t>”</w:t>
      </w:r>
      <w:r>
        <w:rPr>
          <w:rFonts w:hint="eastAsia" w:ascii="Times New Roman" w:hAnsi="Times New Roman" w:eastAsia="仿宋_GB2312"/>
          <w:sz w:val="32"/>
          <w:szCs w:val="32"/>
        </w:rPr>
        <w:t>资金运行质量，克服资金压力全面落实工资普调、离退休生活补助提标、养老保险基数调整等政策。及时足额兑付村级支出和疫情防控卡点、非洲猪瘟、森林草原防灭火等基层人员补助，共支出</w:t>
      </w:r>
      <w:r>
        <w:rPr>
          <w:rFonts w:ascii="Times New Roman" w:hAnsi="Times New Roman" w:eastAsia="仿宋_GB2312"/>
          <w:sz w:val="32"/>
          <w:szCs w:val="32"/>
        </w:rPr>
        <w:t>407</w:t>
      </w:r>
      <w:r>
        <w:rPr>
          <w:rFonts w:hint="eastAsia" w:ascii="Times New Roman" w:hAnsi="Times New Roman" w:eastAsia="仿宋_GB2312"/>
          <w:sz w:val="32"/>
          <w:szCs w:val="32"/>
        </w:rPr>
        <w:t>万元。</w:t>
      </w:r>
    </w:p>
    <w:p>
      <w:pPr>
        <w:spacing w:line="600" w:lineRule="exact"/>
        <w:ind w:firstLine="642" w:firstLineChars="200"/>
        <w:rPr>
          <w:rFonts w:ascii="Times New Roman" w:hAnsi="Times New Roman" w:eastAsia="仿宋_GB2312"/>
          <w:b/>
          <w:color w:val="FF0000"/>
          <w:sz w:val="32"/>
          <w:szCs w:val="32"/>
        </w:rPr>
      </w:pPr>
      <w:r>
        <w:rPr>
          <w:rFonts w:hint="eastAsia" w:ascii="Times New Roman" w:hAnsi="Times New Roman" w:eastAsia="仿宋_GB2312"/>
          <w:b/>
          <w:sz w:val="32"/>
          <w:szCs w:val="32"/>
        </w:rPr>
        <w:t>二是全力防范化解政府债务风险。</w:t>
      </w:r>
      <w:r>
        <w:rPr>
          <w:rFonts w:hint="eastAsia" w:ascii="Times New Roman" w:hAnsi="Times New Roman" w:eastAsia="仿宋_GB2312"/>
          <w:sz w:val="32"/>
          <w:szCs w:val="32"/>
        </w:rPr>
        <w:t>完善债务风险评估、预警等债务风险防控机制，</w:t>
      </w:r>
      <w:r>
        <w:rPr>
          <w:rFonts w:hint="eastAsia" w:ascii="Times New Roman" w:hAnsi="Times New Roman" w:eastAsia="仿宋_GB2312"/>
          <w:bCs/>
          <w:sz w:val="32"/>
          <w:szCs w:val="32"/>
        </w:rPr>
        <w:t>严格在限额内举借政府债务，</w:t>
      </w:r>
      <w:r>
        <w:rPr>
          <w:rFonts w:hint="eastAsia" w:ascii="Times New Roman" w:hAnsi="Times New Roman" w:eastAsia="仿宋_GB2312"/>
          <w:sz w:val="32"/>
          <w:szCs w:val="32"/>
        </w:rPr>
        <w:t>有序偿付到期地方政府债务。积极妥善化解隐性债务，</w:t>
      </w:r>
      <w:r>
        <w:rPr>
          <w:rFonts w:hint="eastAsia" w:ascii="Times New Roman" w:hAnsi="Times New Roman" w:eastAsia="仿宋_GB2312"/>
          <w:bCs/>
          <w:sz w:val="32"/>
          <w:szCs w:val="32"/>
        </w:rPr>
        <w:t>制定进一步加强地方政府隐性债务管理措施，建立健全隐性债务增减变动统计、联防联控等机制，严格控制新增隐性债务，2022年</w:t>
      </w:r>
      <w:r>
        <w:rPr>
          <w:rFonts w:hint="eastAsia" w:ascii="Times New Roman" w:hAnsi="Times New Roman" w:eastAsia="仿宋_GB2312"/>
          <w:sz w:val="32"/>
          <w:szCs w:val="32"/>
        </w:rPr>
        <w:t>千方百计筹措资金，积极开展审计涉财问题整改和隐性债务化解工作，共投入财政资金8.03</w:t>
      </w:r>
      <w:r>
        <w:rPr>
          <w:rFonts w:hint="eastAsia" w:ascii="Times New Roman" w:hAnsi="Times New Roman" w:eastAsia="仿宋_GB2312"/>
          <w:b/>
          <w:sz w:val="32"/>
          <w:szCs w:val="32"/>
        </w:rPr>
        <w:t>亿元。</w:t>
      </w:r>
    </w:p>
    <w:p>
      <w:pPr>
        <w:spacing w:line="600" w:lineRule="exact"/>
        <w:ind w:firstLine="642" w:firstLineChars="200"/>
        <w:rPr>
          <w:rFonts w:ascii="Times New Roman" w:hAnsi="Times New Roman" w:eastAsia="仿宋_GB2312"/>
          <w:bCs/>
          <w:sz w:val="32"/>
          <w:szCs w:val="32"/>
        </w:rPr>
      </w:pPr>
      <w:r>
        <w:rPr>
          <w:rFonts w:hint="eastAsia" w:ascii="Times New Roman" w:hAnsi="Times New Roman" w:eastAsia="仿宋_GB2312"/>
          <w:b/>
          <w:sz w:val="32"/>
          <w:szCs w:val="32"/>
        </w:rPr>
        <w:t>三是全力维护财经纪律权威。</w:t>
      </w:r>
      <w:r>
        <w:rPr>
          <w:rFonts w:hint="eastAsia" w:ascii="Times New Roman" w:hAnsi="Times New Roman" w:eastAsia="仿宋_GB2312"/>
          <w:bCs/>
          <w:sz w:val="32"/>
          <w:szCs w:val="32"/>
        </w:rPr>
        <w:t>发挥财会监督与各类监督的协同效应，全年开展严肃财经纪律、维护财经秩序、清理违规发放津补贴、</w:t>
      </w:r>
      <w:r>
        <w:rPr>
          <w:rFonts w:ascii="Times New Roman" w:hAnsi="Times New Roman" w:eastAsia="仿宋_GB2312"/>
          <w:bCs/>
          <w:sz w:val="32"/>
          <w:szCs w:val="32"/>
        </w:rPr>
        <w:t>“</w:t>
      </w:r>
      <w:r>
        <w:rPr>
          <w:rFonts w:hint="eastAsia" w:ascii="Times New Roman" w:hAnsi="Times New Roman" w:eastAsia="仿宋_GB2312"/>
          <w:bCs/>
          <w:sz w:val="32"/>
          <w:szCs w:val="32"/>
        </w:rPr>
        <w:t>三公</w:t>
      </w:r>
      <w:r>
        <w:rPr>
          <w:rFonts w:ascii="Times New Roman" w:hAnsi="Times New Roman" w:eastAsia="仿宋_GB2312"/>
          <w:bCs/>
          <w:sz w:val="32"/>
          <w:szCs w:val="32"/>
        </w:rPr>
        <w:t>”</w:t>
      </w:r>
      <w:r>
        <w:rPr>
          <w:rFonts w:hint="eastAsia" w:ascii="Times New Roman" w:hAnsi="Times New Roman" w:eastAsia="仿宋_GB2312"/>
          <w:bCs/>
          <w:sz w:val="32"/>
          <w:szCs w:val="32"/>
        </w:rPr>
        <w:t>经费、预决算公开等财政方面专项检查</w:t>
      </w:r>
      <w:r>
        <w:rPr>
          <w:rFonts w:ascii="Times New Roman" w:hAnsi="Times New Roman" w:eastAsia="仿宋_GB2312"/>
          <w:sz w:val="32"/>
          <w:szCs w:val="32"/>
        </w:rPr>
        <w:t>3</w:t>
      </w:r>
      <w:r>
        <w:rPr>
          <w:rFonts w:hint="eastAsia" w:ascii="Times New Roman" w:hAnsi="Times New Roman" w:eastAsia="仿宋_GB2312"/>
          <w:sz w:val="32"/>
          <w:szCs w:val="32"/>
        </w:rPr>
        <w:t>项，</w:t>
      </w:r>
      <w:r>
        <w:rPr>
          <w:rFonts w:hint="eastAsia" w:ascii="Times New Roman" w:hAnsi="Times New Roman" w:eastAsia="仿宋_GB2312"/>
          <w:bCs/>
          <w:sz w:val="32"/>
          <w:szCs w:val="32"/>
        </w:rPr>
        <w:t>发现问题</w:t>
      </w:r>
      <w:r>
        <w:rPr>
          <w:rFonts w:hint="eastAsia" w:ascii="Times New Roman" w:hAnsi="Times New Roman" w:eastAsia="仿宋_GB2312"/>
          <w:sz w:val="32"/>
          <w:szCs w:val="32"/>
        </w:rPr>
        <w:t>一类、</w:t>
      </w:r>
      <w:r>
        <w:rPr>
          <w:rFonts w:ascii="Times New Roman" w:hAnsi="Times New Roman" w:eastAsia="仿宋_GB2312"/>
          <w:sz w:val="32"/>
          <w:szCs w:val="32"/>
        </w:rPr>
        <w:t>3</w:t>
      </w:r>
      <w:r>
        <w:rPr>
          <w:rFonts w:hint="eastAsia" w:ascii="Times New Roman" w:hAnsi="Times New Roman" w:eastAsia="仿宋_GB2312"/>
          <w:sz w:val="32"/>
          <w:szCs w:val="32"/>
        </w:rPr>
        <w:t>个，追回财政资金15.8万元，</w:t>
      </w:r>
      <w:r>
        <w:rPr>
          <w:rFonts w:hint="eastAsia" w:ascii="Times New Roman" w:hAnsi="Times New Roman" w:eastAsia="仿宋_GB2312"/>
          <w:bCs/>
          <w:sz w:val="32"/>
          <w:szCs w:val="32"/>
        </w:rPr>
        <w:t>维护各类资金管理制度和财经纪律的刚性。开展经济责任审计涉财问题整改，进一步规范预算调整、地方政府债券分配、国有资产管理等公共资金管理重大事项决策程序，</w:t>
      </w:r>
      <w:r>
        <w:rPr>
          <w:rFonts w:hint="eastAsia" w:ascii="Times New Roman" w:hAnsi="Times New Roman" w:eastAsia="仿宋_GB2312"/>
          <w:sz w:val="32"/>
          <w:szCs w:val="32"/>
        </w:rPr>
        <w:t xml:space="preserve"> 2项共计</w:t>
      </w:r>
      <w:r>
        <w:rPr>
          <w:rFonts w:hint="eastAsia" w:ascii="Times New Roman" w:hAnsi="Times New Roman" w:eastAsia="仿宋_GB2312"/>
          <w:bCs/>
          <w:sz w:val="32"/>
          <w:szCs w:val="32"/>
        </w:rPr>
        <w:t>9209万元</w:t>
      </w:r>
      <w:r>
        <w:rPr>
          <w:rFonts w:hint="eastAsia" w:ascii="Times New Roman" w:hAnsi="Times New Roman" w:eastAsia="仿宋_GB2312"/>
          <w:sz w:val="32"/>
          <w:szCs w:val="32"/>
        </w:rPr>
        <w:t>应纳入基金</w:t>
      </w:r>
      <w:r>
        <w:rPr>
          <w:rFonts w:hint="eastAsia" w:ascii="Times New Roman" w:hAnsi="Times New Roman" w:eastAsia="仿宋_GB2312"/>
          <w:bCs/>
          <w:sz w:val="32"/>
          <w:szCs w:val="32"/>
        </w:rPr>
        <w:t>预算管理问题已整改完成。加大预决算公开力度，钒钛高新区预决算公开的完整性、准确性不断提升。</w:t>
      </w:r>
    </w:p>
    <w:p>
      <w:pPr>
        <w:adjustRightInd w:val="0"/>
        <w:snapToGrid w:val="0"/>
        <w:spacing w:line="600" w:lineRule="exact"/>
        <w:ind w:firstLine="643"/>
        <w:rPr>
          <w:rFonts w:ascii="Times New Roman" w:hAnsi="Times New Roman" w:eastAsia="仿宋_GB2312"/>
          <w:bCs/>
          <w:sz w:val="32"/>
          <w:szCs w:val="32"/>
        </w:rPr>
      </w:pPr>
      <w:r>
        <w:rPr>
          <w:rFonts w:hint="eastAsia" w:ascii="Times New Roman" w:hAnsi="Times New Roman" w:eastAsia="楷体_GB2312"/>
          <w:b/>
          <w:sz w:val="32"/>
          <w:szCs w:val="32"/>
        </w:rPr>
        <w:t>（四）深化预算制度改革，加快建立现代化财政体系。</w:t>
      </w:r>
      <w:r>
        <w:rPr>
          <w:rFonts w:hint="eastAsia" w:ascii="Times New Roman" w:hAnsi="Times New Roman" w:eastAsia="仿宋_GB2312"/>
          <w:bCs/>
          <w:sz w:val="32"/>
          <w:szCs w:val="32"/>
        </w:rPr>
        <w:t>落实国务院、省政府关于进一步深化预算管理制度改革、进一步推进省以下财政体制改革的有关意见，坚持蹄疾步稳、探索先行，结合实际迈出实质性步伐。</w:t>
      </w:r>
    </w:p>
    <w:p>
      <w:pPr>
        <w:spacing w:line="600" w:lineRule="exact"/>
        <w:ind w:firstLine="642" w:firstLineChars="200"/>
        <w:rPr>
          <w:rFonts w:ascii="Times New Roman" w:hAnsi="Times New Roman" w:eastAsia="仿宋_GB2312"/>
          <w:bCs/>
          <w:sz w:val="32"/>
          <w:szCs w:val="32"/>
        </w:rPr>
      </w:pPr>
      <w:r>
        <w:rPr>
          <w:rFonts w:hint="eastAsia" w:ascii="Times New Roman" w:hAnsi="Times New Roman" w:eastAsia="仿宋_GB2312"/>
          <w:b/>
          <w:bCs/>
          <w:sz w:val="32"/>
          <w:szCs w:val="32"/>
        </w:rPr>
        <w:t>一是探索财政预算支出管理改革。</w:t>
      </w:r>
      <w:r>
        <w:rPr>
          <w:rFonts w:hint="eastAsia" w:ascii="Times New Roman" w:hAnsi="Times New Roman" w:eastAsia="仿宋_GB2312"/>
          <w:bCs/>
          <w:sz w:val="32"/>
          <w:szCs w:val="32"/>
        </w:rPr>
        <w:t>编制部门预算和专项资金预算坚持实事求是，将不同渠道、投向同一领域的财政资金整合成各类支出专项，从</w:t>
      </w:r>
      <w:r>
        <w:rPr>
          <w:rFonts w:ascii="Times New Roman" w:hAnsi="Times New Roman" w:eastAsia="仿宋_GB2312"/>
          <w:bCs/>
          <w:sz w:val="32"/>
          <w:szCs w:val="32"/>
        </w:rPr>
        <w:t>“</w:t>
      </w:r>
      <w:r>
        <w:rPr>
          <w:rFonts w:hint="eastAsia" w:ascii="Times New Roman" w:hAnsi="Times New Roman" w:eastAsia="仿宋_GB2312"/>
          <w:bCs/>
          <w:sz w:val="32"/>
          <w:szCs w:val="32"/>
        </w:rPr>
        <w:t>一个口子</w:t>
      </w:r>
      <w:r>
        <w:rPr>
          <w:rFonts w:ascii="Times New Roman" w:hAnsi="Times New Roman" w:eastAsia="仿宋_GB2312"/>
          <w:bCs/>
          <w:sz w:val="32"/>
          <w:szCs w:val="32"/>
        </w:rPr>
        <w:t>”</w:t>
      </w:r>
      <w:r>
        <w:rPr>
          <w:rFonts w:hint="eastAsia" w:ascii="Times New Roman" w:hAnsi="Times New Roman" w:eastAsia="仿宋_GB2312"/>
          <w:bCs/>
          <w:sz w:val="32"/>
          <w:szCs w:val="32"/>
        </w:rPr>
        <w:t>加强统筹管理。持续压减一般性支出，严格规范</w:t>
      </w:r>
      <w:r>
        <w:rPr>
          <w:rFonts w:ascii="Times New Roman" w:hAnsi="Times New Roman" w:eastAsia="仿宋_GB2312"/>
          <w:bCs/>
          <w:sz w:val="32"/>
          <w:szCs w:val="32"/>
        </w:rPr>
        <w:t>“</w:t>
      </w:r>
      <w:r>
        <w:rPr>
          <w:rFonts w:hint="eastAsia" w:ascii="Times New Roman" w:hAnsi="Times New Roman" w:eastAsia="仿宋_GB2312"/>
          <w:bCs/>
          <w:sz w:val="32"/>
          <w:szCs w:val="32"/>
        </w:rPr>
        <w:t>三公</w:t>
      </w:r>
      <w:r>
        <w:rPr>
          <w:rFonts w:ascii="Times New Roman" w:hAnsi="Times New Roman" w:eastAsia="仿宋_GB2312"/>
          <w:bCs/>
          <w:sz w:val="32"/>
          <w:szCs w:val="32"/>
        </w:rPr>
        <w:t>”</w:t>
      </w:r>
      <w:r>
        <w:rPr>
          <w:rFonts w:hint="eastAsia" w:ascii="Times New Roman" w:hAnsi="Times New Roman" w:eastAsia="仿宋_GB2312"/>
          <w:bCs/>
          <w:sz w:val="32"/>
          <w:szCs w:val="32"/>
        </w:rPr>
        <w:t>经费管理，坚持厉行节约，在年初预算压减的基础上执行中进一步压减</w:t>
      </w:r>
      <w:r>
        <w:rPr>
          <w:rFonts w:ascii="Times New Roman" w:hAnsi="Times New Roman" w:eastAsia="仿宋_GB2312"/>
          <w:bCs/>
          <w:sz w:val="32"/>
          <w:szCs w:val="32"/>
        </w:rPr>
        <w:t>“</w:t>
      </w:r>
      <w:r>
        <w:rPr>
          <w:rFonts w:hint="eastAsia" w:ascii="Times New Roman" w:hAnsi="Times New Roman" w:eastAsia="仿宋_GB2312"/>
          <w:bCs/>
          <w:sz w:val="32"/>
          <w:szCs w:val="32"/>
        </w:rPr>
        <w:t>三公</w:t>
      </w:r>
      <w:r>
        <w:rPr>
          <w:rFonts w:ascii="Times New Roman" w:hAnsi="Times New Roman" w:eastAsia="仿宋_GB2312"/>
          <w:bCs/>
          <w:sz w:val="32"/>
          <w:szCs w:val="32"/>
        </w:rPr>
        <w:t>”</w:t>
      </w:r>
      <w:r>
        <w:rPr>
          <w:rFonts w:hint="eastAsia" w:ascii="Times New Roman" w:hAnsi="Times New Roman" w:eastAsia="仿宋_GB2312"/>
          <w:bCs/>
          <w:sz w:val="32"/>
          <w:szCs w:val="32"/>
        </w:rPr>
        <w:t>经费</w:t>
      </w:r>
      <w:r>
        <w:rPr>
          <w:rFonts w:ascii="Times New Roman" w:hAnsi="Times New Roman" w:eastAsia="仿宋_GB2312"/>
          <w:sz w:val="32"/>
          <w:szCs w:val="32"/>
        </w:rPr>
        <w:t>20%</w:t>
      </w:r>
      <w:r>
        <w:rPr>
          <w:rFonts w:hint="eastAsia" w:ascii="Times New Roman" w:hAnsi="Times New Roman" w:eastAsia="仿宋_GB2312"/>
          <w:bCs/>
          <w:sz w:val="32"/>
          <w:szCs w:val="32"/>
        </w:rPr>
        <w:t>。加强财政资金统筹，逐步将事业收入、经营收入纳入部门综合预算管理，严防财政资金跑冒滴漏，持续推动财政资金规范安全使用。全面运行预算管理一体化系统，提升预算信息化科学化规范化水平。</w:t>
      </w:r>
    </w:p>
    <w:p>
      <w:pPr>
        <w:adjustRightInd w:val="0"/>
        <w:snapToGrid w:val="0"/>
        <w:spacing w:line="600" w:lineRule="exact"/>
        <w:ind w:firstLine="642" w:firstLineChars="200"/>
        <w:rPr>
          <w:rFonts w:ascii="Times New Roman" w:hAnsi="Times New Roman" w:eastAsia="仿宋_GB2312"/>
          <w:b/>
          <w:sz w:val="32"/>
          <w:szCs w:val="32"/>
        </w:rPr>
      </w:pPr>
      <w:r>
        <w:rPr>
          <w:rFonts w:hint="eastAsia" w:ascii="Times New Roman" w:hAnsi="Times New Roman" w:eastAsia="仿宋_GB2312"/>
          <w:b/>
          <w:bCs/>
          <w:sz w:val="32"/>
          <w:szCs w:val="32"/>
        </w:rPr>
        <w:t>二是稳妥推进财税体制改革。</w:t>
      </w:r>
      <w:r>
        <w:rPr>
          <w:rFonts w:hint="eastAsia" w:ascii="Times New Roman" w:hAnsi="Times New Roman" w:eastAsia="仿宋_GB2312"/>
          <w:bCs/>
          <w:sz w:val="32"/>
          <w:szCs w:val="32"/>
        </w:rPr>
        <w:t>完成市与钒钛高新区财政管理体制改革，在市财政、税务、人民银行攀枝花中心支行的大力推动下，钒钛高新区设立独立金库，赋予了钒钛高新区县级财政管理限权、实行独立财政管理体制，独立自主编制预决算、进行收支预算管理、债务管控，对公共资金管理享有决策权，进一步理清市与钒钛高新区财政事权关系、合理划分支出责任，确定</w:t>
      </w:r>
      <w:r>
        <w:rPr>
          <w:rFonts w:ascii="Times New Roman" w:hAnsi="Times New Roman" w:eastAsia="仿宋_GB2312"/>
          <w:bCs/>
          <w:sz w:val="32"/>
          <w:szCs w:val="32"/>
        </w:rPr>
        <w:t>“</w:t>
      </w:r>
      <w:r>
        <w:rPr>
          <w:rFonts w:hint="eastAsia" w:ascii="Times New Roman" w:hAnsi="Times New Roman" w:eastAsia="仿宋_GB2312"/>
          <w:bCs/>
          <w:sz w:val="32"/>
          <w:szCs w:val="32"/>
        </w:rPr>
        <w:t>保存量、分增量</w:t>
      </w:r>
      <w:r>
        <w:rPr>
          <w:rFonts w:ascii="Times New Roman" w:hAnsi="Times New Roman" w:eastAsia="仿宋_GB2312"/>
          <w:bCs/>
          <w:sz w:val="32"/>
          <w:szCs w:val="32"/>
        </w:rPr>
        <w:t>”</w:t>
      </w:r>
      <w:r>
        <w:rPr>
          <w:rFonts w:hint="eastAsia" w:ascii="Times New Roman" w:hAnsi="Times New Roman" w:eastAsia="仿宋_GB2312"/>
          <w:bCs/>
          <w:sz w:val="32"/>
          <w:szCs w:val="32"/>
        </w:rPr>
        <w:t>的利益分享新机制，推动钒钛高新区发展提速。</w:t>
      </w:r>
    </w:p>
    <w:p>
      <w:pPr>
        <w:spacing w:line="600" w:lineRule="exact"/>
        <w:ind w:left="14" w:firstLine="616"/>
        <w:rPr>
          <w:rFonts w:ascii="Times New Roman" w:hAnsi="Times New Roman" w:eastAsia="仿宋_GB2312"/>
          <w:sz w:val="32"/>
          <w:szCs w:val="32"/>
        </w:rPr>
      </w:pPr>
      <w:r>
        <w:rPr>
          <w:rFonts w:hint="eastAsia" w:ascii="Times New Roman" w:hAnsi="Times New Roman" w:eastAsia="仿宋_GB2312"/>
          <w:sz w:val="32"/>
          <w:szCs w:val="32"/>
        </w:rPr>
        <w:t>这些工作的有效开展，是钒钛高新区党工委、管委会正确领导的结果，是钒钛高新区各部门共同努力的结果。同时，我们也清醒认识到，当前财政运行管理还存在较为突出的困难和问题。钒钛高新区财力薄弱，</w:t>
      </w:r>
      <w:r>
        <w:rPr>
          <w:rFonts w:ascii="Times New Roman" w:hAnsi="Times New Roman" w:eastAsia="仿宋_GB2312"/>
          <w:sz w:val="32"/>
          <w:szCs w:val="32"/>
        </w:rPr>
        <w:t>“</w:t>
      </w:r>
      <w:r>
        <w:rPr>
          <w:rFonts w:hint="eastAsia" w:ascii="Times New Roman" w:hAnsi="Times New Roman" w:eastAsia="仿宋_GB2312"/>
          <w:sz w:val="32"/>
          <w:szCs w:val="32"/>
        </w:rPr>
        <w:t>三保</w:t>
      </w:r>
      <w:r>
        <w:rPr>
          <w:rFonts w:ascii="Times New Roman" w:hAnsi="Times New Roman" w:eastAsia="仿宋_GB2312"/>
          <w:sz w:val="32"/>
          <w:szCs w:val="32"/>
        </w:rPr>
        <w:t>”</w:t>
      </w:r>
      <w:r>
        <w:rPr>
          <w:rFonts w:hint="eastAsia" w:ascii="Times New Roman" w:hAnsi="Times New Roman" w:eastAsia="仿宋_GB2312"/>
          <w:sz w:val="32"/>
          <w:szCs w:val="32"/>
        </w:rPr>
        <w:t>支出占比高，加上债务还本付息、</w:t>
      </w:r>
      <w:r>
        <w:rPr>
          <w:rFonts w:ascii="Times New Roman" w:hAnsi="Times New Roman" w:eastAsia="仿宋_GB2312"/>
          <w:sz w:val="32"/>
          <w:szCs w:val="32"/>
        </w:rPr>
        <w:t>PPP</w:t>
      </w:r>
      <w:r>
        <w:rPr>
          <w:rFonts w:hint="eastAsia" w:ascii="Times New Roman" w:hAnsi="Times New Roman" w:eastAsia="仿宋_GB2312"/>
          <w:sz w:val="32"/>
          <w:szCs w:val="32"/>
        </w:rPr>
        <w:t>支出责任、应付工程款等刚性支出大，财政推动发展能力不足，预算平衡难度加大；规模税源支撑不够，资源（资产）盘活空间萎缩，支撑收入持续稳定增长的来源不足；钒钛高新区统筹建设发展和偿还债务的压力较大，</w:t>
      </w:r>
      <w:r>
        <w:rPr>
          <w:rFonts w:ascii="Times New Roman" w:hAnsi="Times New Roman" w:eastAsia="仿宋_GB2312"/>
          <w:sz w:val="32"/>
          <w:szCs w:val="32"/>
        </w:rPr>
        <w:t>2023</w:t>
      </w:r>
      <w:r>
        <w:rPr>
          <w:rFonts w:hint="eastAsia" w:ascii="Times New Roman" w:hAnsi="Times New Roman" w:eastAsia="仿宋_GB2312"/>
          <w:sz w:val="32"/>
          <w:szCs w:val="32"/>
        </w:rPr>
        <w:t>年钒钛高新区直接偿还或负有支出责任的到期债务本息高达</w:t>
      </w:r>
      <w:r>
        <w:rPr>
          <w:rFonts w:hint="eastAsia" w:ascii="Times New Roman" w:hAnsi="Times New Roman" w:eastAsia="仿宋_GB2312"/>
          <w:bCs/>
          <w:sz w:val="32"/>
          <w:szCs w:val="32"/>
        </w:rPr>
        <w:t>8</w:t>
      </w:r>
      <w:r>
        <w:rPr>
          <w:rFonts w:hint="eastAsia" w:ascii="Times New Roman" w:hAnsi="Times New Roman" w:eastAsia="仿宋_GB2312"/>
          <w:sz w:val="32"/>
          <w:szCs w:val="32"/>
        </w:rPr>
        <w:t>亿元，财政腾挪空间有限，同时平台公司债务高位运行，债务兑付风险不容忽视，风险防范压力不断加大；财政管理改革有待深化，财政资金绩效理念不牢，预算刚性约束不够，资金闲置沉淀、损失浪费现象时有发生，财政财务管理不规范问题依然存在，各类检查结果运用与预算安排结合不到位，财权事权匹配度还需增强。</w:t>
      </w:r>
    </w:p>
    <w:p>
      <w:pPr>
        <w:adjustRightInd w:val="0"/>
        <w:snapToGrid w:val="0"/>
        <w:spacing w:line="600" w:lineRule="exact"/>
        <w:ind w:firstLine="640"/>
        <w:outlineLvl w:val="0"/>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2023</w:t>
      </w:r>
      <w:r>
        <w:rPr>
          <w:rFonts w:hint="eastAsia" w:ascii="Times New Roman" w:hAnsi="Times New Roman" w:eastAsia="黑体"/>
          <w:sz w:val="32"/>
          <w:szCs w:val="32"/>
        </w:rPr>
        <w:t>年预算草案</w:t>
      </w:r>
    </w:p>
    <w:p>
      <w:pPr>
        <w:adjustRightInd w:val="0"/>
        <w:snapToGrid w:val="0"/>
        <w:spacing w:line="600" w:lineRule="exact"/>
        <w:ind w:firstLine="640"/>
        <w:outlineLvl w:val="1"/>
        <w:rPr>
          <w:rFonts w:ascii="Times New Roman" w:hAnsi="Times New Roman" w:eastAsia="仿宋_GB2312"/>
          <w:sz w:val="32"/>
          <w:szCs w:val="32"/>
        </w:rPr>
      </w:pPr>
      <w:r>
        <w:rPr>
          <w:rFonts w:ascii="Times New Roman" w:hAnsi="Times New Roman" w:eastAsia="仿宋_GB2312"/>
          <w:sz w:val="32"/>
          <w:szCs w:val="32"/>
        </w:rPr>
        <w:t>2023</w:t>
      </w:r>
      <w:r>
        <w:rPr>
          <w:rFonts w:hint="eastAsia" w:ascii="Times New Roman" w:hAnsi="Times New Roman" w:eastAsia="仿宋_GB2312"/>
          <w:sz w:val="32"/>
          <w:szCs w:val="32"/>
        </w:rPr>
        <w:t>年钒钛高新区财政收支形势仍将呈现收入增速与经济发展趋势基本一致（同市财政基本一致，中低位运行）、支出增长刚性较强的紧平衡状态，财政收支矛盾依然较为突出。</w:t>
      </w:r>
    </w:p>
    <w:p>
      <w:pPr>
        <w:spacing w:line="600" w:lineRule="exact"/>
        <w:ind w:firstLine="642" w:firstLineChars="200"/>
        <w:rPr>
          <w:rFonts w:ascii="Times New Roman" w:hAnsi="Times New Roman" w:eastAsia="仿宋_GB2312"/>
          <w:sz w:val="32"/>
          <w:szCs w:val="32"/>
        </w:rPr>
      </w:pPr>
      <w:r>
        <w:rPr>
          <w:rFonts w:ascii="Times New Roman" w:hAnsi="Times New Roman" w:eastAsia="仿宋_GB2312"/>
          <w:b/>
          <w:sz w:val="32"/>
          <w:szCs w:val="32"/>
        </w:rPr>
        <w:t>2023</w:t>
      </w:r>
      <w:r>
        <w:rPr>
          <w:rFonts w:hint="eastAsia" w:ascii="Times New Roman" w:hAnsi="Times New Roman" w:eastAsia="仿宋_GB2312"/>
          <w:b/>
          <w:sz w:val="32"/>
          <w:szCs w:val="32"/>
        </w:rPr>
        <w:t>年财政工作和预算编制的指导思想是：</w:t>
      </w:r>
      <w:r>
        <w:rPr>
          <w:rFonts w:hint="eastAsia" w:ascii="Times New Roman" w:hAnsi="Times New Roman" w:eastAsia="仿宋_GB2312"/>
          <w:sz w:val="32"/>
          <w:szCs w:val="32"/>
        </w:rPr>
        <w:t>坚定以习近平新时代中国特色社会主义思想为指导，全面贯彻党的二十大精神和习近平总书记来川视察重要指示精神，深入贯彻省委十二届二次全会精神、市委十一届五次全会精神，围绕市委</w:t>
      </w:r>
      <w:r>
        <w:rPr>
          <w:rFonts w:ascii="Times New Roman" w:hAnsi="Times New Roman" w:eastAsia="仿宋_GB2312"/>
          <w:sz w:val="32"/>
          <w:szCs w:val="32"/>
        </w:rPr>
        <w:t>“</w:t>
      </w:r>
      <w:r>
        <w:rPr>
          <w:rFonts w:hint="eastAsia" w:ascii="Times New Roman" w:hAnsi="Times New Roman" w:eastAsia="仿宋_GB2312"/>
          <w:sz w:val="32"/>
          <w:szCs w:val="32"/>
        </w:rPr>
        <w:t>一三三三</w:t>
      </w:r>
      <w:r>
        <w:rPr>
          <w:rFonts w:ascii="Times New Roman" w:hAnsi="Times New Roman" w:eastAsia="仿宋_GB2312"/>
          <w:sz w:val="32"/>
          <w:szCs w:val="32"/>
        </w:rPr>
        <w:t>”</w:t>
      </w:r>
      <w:r>
        <w:rPr>
          <w:rFonts w:hint="eastAsia" w:ascii="Times New Roman" w:hAnsi="Times New Roman" w:eastAsia="仿宋_GB2312"/>
          <w:sz w:val="32"/>
          <w:szCs w:val="32"/>
        </w:rPr>
        <w:t>发展战略，以推动高质量发展建设共同富裕试验区、建设现代化区域中心城市为工作主线，坚持尽力而为、量力而行，加强财源建设、优化支出结构、注重绩效引导、坚守风险底线、筑牢民生保障，着力提升促进攀枝花钒钛高新区高质量发展的财政预算的可持续性，为攀枝花钒钛高新区迈上现代化建设新征程提供有力财力支撑。</w:t>
      </w:r>
    </w:p>
    <w:p>
      <w:pPr>
        <w:adjustRightInd w:val="0"/>
        <w:snapToGrid w:val="0"/>
        <w:spacing w:line="600" w:lineRule="exact"/>
        <w:ind w:firstLine="640"/>
        <w:outlineLvl w:val="1"/>
        <w:rPr>
          <w:rFonts w:ascii="Times New Roman" w:hAnsi="Times New Roman" w:eastAsia="仿宋_GB2312"/>
          <w:sz w:val="32"/>
          <w:szCs w:val="32"/>
        </w:rPr>
      </w:pPr>
      <w:r>
        <w:rPr>
          <w:rFonts w:ascii="Times New Roman" w:hAnsi="Times New Roman" w:eastAsia="仿宋_GB2312"/>
          <w:b/>
          <w:sz w:val="32"/>
          <w:szCs w:val="32"/>
        </w:rPr>
        <w:t>2023</w:t>
      </w:r>
      <w:r>
        <w:rPr>
          <w:rFonts w:hint="eastAsia" w:ascii="Times New Roman" w:hAnsi="Times New Roman" w:eastAsia="仿宋_GB2312"/>
          <w:b/>
          <w:sz w:val="32"/>
          <w:szCs w:val="32"/>
        </w:rPr>
        <w:t>年预算编制的原则是：</w:t>
      </w:r>
      <w:r>
        <w:rPr>
          <w:rFonts w:hint="eastAsia" w:ascii="Times New Roman" w:hAnsi="Times New Roman" w:eastAsia="仿宋_GB2312"/>
          <w:sz w:val="32"/>
          <w:szCs w:val="32"/>
        </w:rPr>
        <w:t>一是实事求是、积极稳妥。坚持稳字当头、稳中求进、以收定支、量入为出，科学合理安排收支预算指标，保证财政支出强度，加快支出进度，保持经济运行在合理区间。二是统筹兼顾、突出重点。深化零基预算改革，加大资金统筹，强化上级转移支付、财政预算资金、单位自有资金统筹整合，加大对重点领域倾斜支持，确保重点支出保障有力。三是厉行节约、量力而行。精打细算</w:t>
      </w:r>
      <w:r>
        <w:rPr>
          <w:rFonts w:ascii="Times New Roman" w:hAnsi="Times New Roman" w:eastAsia="仿宋_GB2312"/>
          <w:sz w:val="32"/>
          <w:szCs w:val="32"/>
        </w:rPr>
        <w:t>“</w:t>
      </w:r>
      <w:r>
        <w:rPr>
          <w:rFonts w:hint="eastAsia" w:ascii="Times New Roman" w:hAnsi="Times New Roman" w:eastAsia="仿宋_GB2312"/>
          <w:sz w:val="32"/>
          <w:szCs w:val="32"/>
        </w:rPr>
        <w:t>过紧日子</w:t>
      </w:r>
      <w:r>
        <w:rPr>
          <w:rFonts w:ascii="Times New Roman" w:hAnsi="Times New Roman" w:eastAsia="仿宋_GB2312"/>
          <w:sz w:val="32"/>
          <w:szCs w:val="32"/>
        </w:rPr>
        <w:t>”</w:t>
      </w:r>
      <w:r>
        <w:rPr>
          <w:rFonts w:hint="eastAsia" w:ascii="Times New Roman" w:hAnsi="Times New Roman" w:eastAsia="仿宋_GB2312"/>
          <w:sz w:val="32"/>
          <w:szCs w:val="32"/>
        </w:rPr>
        <w:t>，坚持“支出法定”，注重勤俭节约，坚决反对铺张浪费，继续压缩一般性支出和三公经费，大力削减或取消低效无效支出，增强财政预算可持续性。四是强化监督、提升绩效。坚持“花钱必问效、无效必问责”，落实部门和单位主体责任，突出绩效导向，强化预算安排与绩效紧密挂钩，注重投入产出比，全面提升财政政策效能和财政资金效益。五是兜实底线、防范风险。统筹发展与安全，坚持“三保”支出优先序列，依法合规举借债务，妥善处置和化解隐性债务存量，及时兑付政府中长期支出责任。</w:t>
      </w:r>
    </w:p>
    <w:p>
      <w:pPr>
        <w:adjustRightInd w:val="0"/>
        <w:snapToGrid w:val="0"/>
        <w:spacing w:line="600" w:lineRule="exact"/>
        <w:ind w:firstLine="640"/>
        <w:outlineLvl w:val="1"/>
        <w:rPr>
          <w:rFonts w:ascii="Times New Roman" w:hAnsi="Times New Roman" w:eastAsia="楷体_GB2312"/>
          <w:b/>
          <w:sz w:val="32"/>
          <w:szCs w:val="32"/>
        </w:rPr>
      </w:pPr>
      <w:r>
        <w:rPr>
          <w:rFonts w:hint="eastAsia" w:ascii="Times New Roman" w:hAnsi="Times New Roman" w:eastAsia="楷体_GB2312"/>
          <w:b/>
          <w:sz w:val="32"/>
          <w:szCs w:val="32"/>
        </w:rPr>
        <w:t>（一）</w:t>
      </w:r>
      <w:r>
        <w:rPr>
          <w:rFonts w:ascii="Times New Roman" w:hAnsi="Times New Roman" w:eastAsia="楷体_GB2312"/>
          <w:b/>
          <w:sz w:val="32"/>
          <w:szCs w:val="32"/>
        </w:rPr>
        <w:t>2023</w:t>
      </w:r>
      <w:r>
        <w:rPr>
          <w:rFonts w:hint="eastAsia" w:ascii="Times New Roman" w:hAnsi="Times New Roman" w:eastAsia="楷体_GB2312"/>
          <w:b/>
          <w:sz w:val="32"/>
          <w:szCs w:val="32"/>
        </w:rPr>
        <w:t>年预算草案。</w:t>
      </w:r>
    </w:p>
    <w:p>
      <w:pPr>
        <w:adjustRightInd w:val="0"/>
        <w:snapToGrid w:val="0"/>
        <w:spacing w:line="600" w:lineRule="exact"/>
        <w:ind w:firstLine="643"/>
        <w:outlineLvl w:val="2"/>
        <w:rPr>
          <w:rFonts w:ascii="Times New Roman" w:hAnsi="Times New Roman" w:eastAsia="仿宋_GB2312"/>
          <w:sz w:val="32"/>
          <w:szCs w:val="32"/>
        </w:rPr>
      </w:pPr>
      <w:r>
        <w:rPr>
          <w:rFonts w:hint="eastAsia" w:ascii="Times New Roman" w:hAnsi="Times New Roman" w:eastAsia="仿宋_GB2312"/>
          <w:b/>
          <w:bCs/>
          <w:sz w:val="32"/>
          <w:szCs w:val="32"/>
        </w:rPr>
        <w:t>一般公共预算。</w:t>
      </w:r>
      <w:r>
        <w:rPr>
          <w:rFonts w:ascii="Times New Roman" w:hAnsi="Times New Roman" w:eastAsia="仿宋_GB2312"/>
          <w:sz w:val="32"/>
          <w:szCs w:val="32"/>
        </w:rPr>
        <w:t>2023</w:t>
      </w:r>
      <w:r>
        <w:rPr>
          <w:rFonts w:hint="eastAsia" w:ascii="Times New Roman" w:hAnsi="Times New Roman" w:eastAsia="仿宋_GB2312"/>
          <w:sz w:val="32"/>
          <w:szCs w:val="32"/>
        </w:rPr>
        <w:t>年，一般公共预算收入安排</w:t>
      </w:r>
      <w:r>
        <w:rPr>
          <w:rFonts w:ascii="Times New Roman" w:hAnsi="Times New Roman" w:eastAsia="仿宋_GB2312"/>
          <w:sz w:val="32"/>
          <w:szCs w:val="32"/>
        </w:rPr>
        <w:t>39300</w:t>
      </w:r>
      <w:r>
        <w:rPr>
          <w:rFonts w:hint="eastAsia" w:ascii="Times New Roman" w:hAnsi="Times New Roman" w:eastAsia="仿宋_GB2312"/>
          <w:sz w:val="32"/>
          <w:szCs w:val="32"/>
        </w:rPr>
        <w:t>万元，同口径增长</w:t>
      </w:r>
      <w:r>
        <w:rPr>
          <w:rFonts w:ascii="Times New Roman" w:hAnsi="Times New Roman" w:eastAsia="仿宋_GB2312"/>
          <w:sz w:val="32"/>
          <w:szCs w:val="32"/>
        </w:rPr>
        <w:t>7.69%</w:t>
      </w:r>
      <w:r>
        <w:rPr>
          <w:rFonts w:hint="eastAsia" w:ascii="Times New Roman" w:hAnsi="Times New Roman" w:eastAsia="仿宋_GB2312"/>
          <w:sz w:val="32"/>
          <w:szCs w:val="32"/>
        </w:rPr>
        <w:t>。加</w:t>
      </w:r>
      <w:r>
        <w:rPr>
          <w:rFonts w:ascii="Times New Roman" w:hAnsi="Times New Roman" w:eastAsia="仿宋_GB2312"/>
          <w:sz w:val="32"/>
          <w:szCs w:val="32"/>
        </w:rPr>
        <w:t>2023</w:t>
      </w:r>
      <w:r>
        <w:rPr>
          <w:rFonts w:hint="eastAsia" w:ascii="Times New Roman" w:hAnsi="Times New Roman" w:eastAsia="仿宋_GB2312"/>
          <w:sz w:val="32"/>
          <w:szCs w:val="32"/>
        </w:rPr>
        <w:t>年上级补助收入专项转移支付补助、调入资金、动用预算稳定调节基金、上年结余后，一般公共预算收入总量为76942万元。收入总量扣除安排地方政府一般债券还本2000万元、上解支出409万元、援助其他地区支出183万元后，一般公共预算支出安排76942万元。</w:t>
      </w:r>
    </w:p>
    <w:p>
      <w:pPr>
        <w:spacing w:line="600" w:lineRule="exact"/>
        <w:ind w:firstLine="642" w:firstLineChars="200"/>
        <w:rPr>
          <w:rFonts w:ascii="Times New Roman" w:hAnsi="Times New Roman" w:eastAsia="仿宋_GB2312"/>
          <w:sz w:val="32"/>
          <w:szCs w:val="32"/>
        </w:rPr>
      </w:pPr>
      <w:r>
        <w:rPr>
          <w:rFonts w:hint="eastAsia" w:ascii="Times New Roman" w:hAnsi="Times New Roman" w:eastAsia="仿宋_GB2312"/>
          <w:b/>
          <w:bCs/>
          <w:sz w:val="32"/>
          <w:szCs w:val="32"/>
        </w:rPr>
        <w:t>政府性基金预算。</w:t>
      </w:r>
      <w:r>
        <w:rPr>
          <w:rFonts w:ascii="Times New Roman" w:hAnsi="Times New Roman" w:eastAsia="仿宋_GB2312"/>
          <w:sz w:val="32"/>
          <w:szCs w:val="32"/>
        </w:rPr>
        <w:t>2023</w:t>
      </w:r>
      <w:r>
        <w:rPr>
          <w:rFonts w:hint="eastAsia" w:ascii="Times New Roman" w:hAnsi="Times New Roman" w:eastAsia="仿宋_GB2312"/>
          <w:sz w:val="32"/>
          <w:szCs w:val="32"/>
        </w:rPr>
        <w:t>年，政府性基金收入预算安排67500万元。</w:t>
      </w:r>
    </w:p>
    <w:p>
      <w:pPr>
        <w:spacing w:line="600" w:lineRule="exact"/>
        <w:rPr>
          <w:rFonts w:ascii="Times New Roman" w:hAnsi="Times New Roman" w:eastAsia="仿宋_GB2312"/>
          <w:sz w:val="32"/>
          <w:szCs w:val="32"/>
        </w:rPr>
      </w:pPr>
      <w:r>
        <w:rPr>
          <w:rFonts w:hint="eastAsia" w:ascii="Times New Roman" w:hAnsi="Times New Roman" w:eastAsia="仿宋_GB2312"/>
          <w:b/>
          <w:bCs/>
          <w:sz w:val="32"/>
          <w:szCs w:val="32"/>
        </w:rPr>
        <w:t>　</w:t>
      </w:r>
      <w:r>
        <w:rPr>
          <w:rFonts w:hint="eastAsia" w:ascii="Times New Roman" w:hAnsi="Times New Roman" w:eastAsia="仿宋_GB2312"/>
          <w:sz w:val="32"/>
          <w:szCs w:val="32"/>
        </w:rPr>
        <w:t>需要说明的是，本报告中钒钛高新区收支预算数均为统一代编数据，以上预算具体安排情况详见《钒钛高新区</w:t>
      </w:r>
      <w:r>
        <w:rPr>
          <w:rFonts w:ascii="Times New Roman" w:hAnsi="Times New Roman" w:eastAsia="仿宋_GB2312"/>
          <w:sz w:val="32"/>
          <w:szCs w:val="32"/>
        </w:rPr>
        <w:t>2023</w:t>
      </w:r>
      <w:r>
        <w:rPr>
          <w:rFonts w:hint="eastAsia" w:ascii="Times New Roman" w:hAnsi="Times New Roman" w:eastAsia="仿宋_GB2312"/>
          <w:sz w:val="32"/>
          <w:szCs w:val="32"/>
        </w:rPr>
        <w:t>年财政预算（草案）表》。</w:t>
      </w:r>
    </w:p>
    <w:p>
      <w:pPr>
        <w:adjustRightInd w:val="0"/>
        <w:snapToGrid w:val="0"/>
        <w:spacing w:line="600" w:lineRule="exact"/>
        <w:ind w:firstLine="640"/>
        <w:outlineLvl w:val="1"/>
        <w:rPr>
          <w:rFonts w:ascii="Times New Roman" w:hAnsi="Times New Roman" w:eastAsia="楷体_GB2312"/>
          <w:b/>
          <w:sz w:val="32"/>
          <w:szCs w:val="32"/>
        </w:rPr>
      </w:pPr>
      <w:r>
        <w:rPr>
          <w:rFonts w:hint="eastAsia" w:ascii="Times New Roman" w:hAnsi="Times New Roman" w:eastAsia="楷体_GB2312"/>
          <w:b/>
          <w:sz w:val="32"/>
          <w:szCs w:val="32"/>
        </w:rPr>
        <w:t>（二）钒钛高新区预算支出重点安排情况。</w:t>
      </w:r>
    </w:p>
    <w:p>
      <w:pPr>
        <w:adjustRightInd w:val="0"/>
        <w:snapToGrid w:val="0"/>
        <w:spacing w:line="600" w:lineRule="exact"/>
        <w:ind w:firstLine="643"/>
        <w:rPr>
          <w:rFonts w:ascii="Times New Roman" w:hAnsi="Times New Roman" w:eastAsia="仿宋_GB2312"/>
          <w:sz w:val="32"/>
          <w:szCs w:val="32"/>
        </w:rPr>
      </w:pPr>
      <w:r>
        <w:rPr>
          <w:rFonts w:hint="eastAsia" w:ascii="Times New Roman" w:hAnsi="Times New Roman" w:eastAsia="仿宋_GB2312"/>
          <w:b/>
          <w:sz w:val="32"/>
          <w:szCs w:val="32"/>
        </w:rPr>
        <w:t>一是支持创新驱动发展和教育文化体育事业发展。</w:t>
      </w:r>
      <w:r>
        <w:rPr>
          <w:rFonts w:hint="eastAsia" w:ascii="Times New Roman" w:hAnsi="Times New Roman" w:eastAsia="仿宋_GB2312"/>
          <w:sz w:val="32"/>
          <w:szCs w:val="32"/>
        </w:rPr>
        <w:t>安排教育支出2548万元，支持学前教育惠普发展、义务教育优质均衡发展，推动打造区域优质教育中心。</w:t>
      </w:r>
    </w:p>
    <w:p>
      <w:pPr>
        <w:adjustRightInd w:val="0"/>
        <w:snapToGrid w:val="0"/>
        <w:spacing w:line="600" w:lineRule="exact"/>
        <w:ind w:firstLine="643"/>
        <w:rPr>
          <w:rFonts w:ascii="Times New Roman" w:hAnsi="Times New Roman" w:eastAsia="仿宋_GB2312"/>
          <w:sz w:val="32"/>
          <w:szCs w:val="32"/>
        </w:rPr>
      </w:pPr>
      <w:r>
        <w:rPr>
          <w:rFonts w:hint="eastAsia" w:ascii="Times New Roman" w:hAnsi="Times New Roman" w:eastAsia="仿宋_GB2312"/>
          <w:b/>
          <w:sz w:val="32"/>
          <w:szCs w:val="32"/>
        </w:rPr>
        <w:t>二是支持绿色低碳发展和生态建设。</w:t>
      </w:r>
      <w:r>
        <w:rPr>
          <w:rFonts w:hint="eastAsia" w:ascii="Times New Roman" w:hAnsi="Times New Roman" w:eastAsia="仿宋_GB2312"/>
          <w:sz w:val="32"/>
          <w:szCs w:val="32"/>
        </w:rPr>
        <w:t>安排节能环保支出4594万元，支持污染治理、生态屏障保护、生态环境治理能力提升、美丽攀枝花建设战略规划纲要实施，推进绿色低碳战略实施和经济社会绿色转型，推动创建零碳建筑示范城市、创建国家生态文明建设示范市。</w:t>
      </w:r>
    </w:p>
    <w:p>
      <w:pPr>
        <w:adjustRightInd w:val="0"/>
        <w:snapToGrid w:val="0"/>
        <w:spacing w:line="600" w:lineRule="exact"/>
        <w:ind w:firstLine="643"/>
        <w:rPr>
          <w:rFonts w:ascii="Times New Roman" w:hAnsi="Times New Roman" w:eastAsia="仿宋_GB2312"/>
          <w:sz w:val="32"/>
          <w:szCs w:val="32"/>
        </w:rPr>
      </w:pPr>
      <w:r>
        <w:rPr>
          <w:rFonts w:hint="eastAsia" w:ascii="Times New Roman" w:hAnsi="Times New Roman" w:eastAsia="仿宋_GB2312"/>
          <w:b/>
          <w:sz w:val="32"/>
          <w:szCs w:val="32"/>
        </w:rPr>
        <w:t>三是支持城乡融合发展和乡村振兴。</w:t>
      </w:r>
      <w:r>
        <w:rPr>
          <w:rFonts w:hint="eastAsia" w:ascii="Times New Roman" w:hAnsi="Times New Roman" w:eastAsia="仿宋_GB2312"/>
          <w:sz w:val="32"/>
          <w:szCs w:val="32"/>
        </w:rPr>
        <w:t>安排城乡社区支出25486万元，支持完善城市功能、改善城市环境，健全城乡基础设施，加强城乡社区治理和服务体系建设；安排农林水支出2640万元，支持巩固脱贫攻坚成果、持续推进乡村振兴和全面发展，支持提升农业现代化水平、加快发展特色优势产业、支持森林草原防灭火、防汛抗旱工作。</w:t>
      </w:r>
    </w:p>
    <w:p>
      <w:pPr>
        <w:adjustRightInd w:val="0"/>
        <w:snapToGrid w:val="0"/>
        <w:spacing w:line="600" w:lineRule="exact"/>
        <w:ind w:firstLine="643"/>
        <w:rPr>
          <w:rFonts w:ascii="Times New Roman" w:hAnsi="Times New Roman" w:eastAsia="仿宋_GB2312"/>
          <w:sz w:val="32"/>
          <w:szCs w:val="32"/>
        </w:rPr>
      </w:pPr>
      <w:r>
        <w:rPr>
          <w:rFonts w:hint="eastAsia" w:ascii="Times New Roman" w:hAnsi="Times New Roman" w:eastAsia="仿宋_GB2312"/>
          <w:b/>
          <w:sz w:val="32"/>
          <w:szCs w:val="32"/>
        </w:rPr>
        <w:t>四是支持区域协调发展和打造南向开放门户。</w:t>
      </w:r>
      <w:r>
        <w:rPr>
          <w:rFonts w:hint="eastAsia" w:ascii="Times New Roman" w:hAnsi="Times New Roman" w:eastAsia="仿宋_GB2312"/>
          <w:sz w:val="32"/>
          <w:szCs w:val="32"/>
        </w:rPr>
        <w:t>安排交通运输支出603万元，支持钒钛高新区道路建设和农村村道建设，提高基础设施硬件环境。</w:t>
      </w:r>
    </w:p>
    <w:p>
      <w:pPr>
        <w:adjustRightInd w:val="0"/>
        <w:snapToGrid w:val="0"/>
        <w:spacing w:line="600" w:lineRule="exact"/>
        <w:ind w:firstLine="643"/>
        <w:rPr>
          <w:rStyle w:val="16"/>
          <w:rFonts w:ascii="Times New Roman" w:hAnsi="Times New Roman"/>
          <w:color w:val="auto"/>
        </w:rPr>
      </w:pPr>
      <w:r>
        <w:rPr>
          <w:rFonts w:hint="eastAsia" w:ascii="Times New Roman" w:hAnsi="Times New Roman" w:eastAsia="仿宋_GB2312"/>
          <w:b/>
          <w:sz w:val="32"/>
          <w:szCs w:val="32"/>
        </w:rPr>
        <w:t>五是支持社会保障和社会治理。</w:t>
      </w:r>
      <w:r>
        <w:rPr>
          <w:rFonts w:hint="eastAsia" w:ascii="Times New Roman" w:hAnsi="Times New Roman" w:eastAsia="仿宋_GB2312"/>
          <w:sz w:val="32"/>
          <w:szCs w:val="32"/>
        </w:rPr>
        <w:t>安排社会保障和就业支出1007万元，支持做好重点群体就业工作，推进就业创业公共服务体系建设，推动就业优先政策落实、实现更高质量就业；支持深入实施全民参保计划，发展养老保险体系，强化重点、弱势群体救助和基本保障，推动社会保障水平稳步提升。安排住房保障支出5498万元，主要用于棚改房安置支出及住房租赁补贴的发放。安排灾害防治和应急管理支出1541万元，支持加强安全生产监督管理，完善应急管理体系，提升防灾减灾救灾能力</w:t>
      </w:r>
      <w:r>
        <w:rPr>
          <w:rStyle w:val="16"/>
          <w:rFonts w:hint="eastAsia" w:ascii="Times New Roman" w:hAnsi="Times New Roman"/>
          <w:color w:val="auto"/>
        </w:rPr>
        <w:t>，推动创建全国安全发展示范城市。</w:t>
      </w:r>
      <w:r>
        <w:rPr>
          <w:rFonts w:hint="eastAsia" w:ascii="Times New Roman" w:hAnsi="Times New Roman" w:eastAsia="仿宋_GB2312"/>
          <w:sz w:val="32"/>
          <w:szCs w:val="32"/>
        </w:rPr>
        <w:t>安排公共安全支出520万元，支持建设平安攀枝花</w:t>
      </w:r>
      <w:r>
        <w:rPr>
          <w:rStyle w:val="16"/>
          <w:rFonts w:hint="eastAsia" w:ascii="Times New Roman" w:hAnsi="Times New Roman"/>
          <w:color w:val="auto"/>
        </w:rPr>
        <w:t>、</w:t>
      </w:r>
      <w:r>
        <w:rPr>
          <w:rFonts w:hint="eastAsia" w:ascii="Times New Roman" w:hAnsi="Times New Roman" w:eastAsia="仿宋_GB2312"/>
          <w:sz w:val="32"/>
          <w:szCs w:val="32"/>
        </w:rPr>
        <w:t>健全公共法律服务体系、</w:t>
      </w:r>
      <w:r>
        <w:rPr>
          <w:rStyle w:val="16"/>
          <w:rFonts w:hint="eastAsia" w:ascii="Times New Roman" w:hAnsi="Times New Roman"/>
          <w:color w:val="auto"/>
        </w:rPr>
        <w:t>提高市域社会治理水平，推动创建全国社会治安防控体系建设示范城市。</w:t>
      </w:r>
    </w:p>
    <w:p>
      <w:pPr>
        <w:adjustRightInd w:val="0"/>
        <w:snapToGrid w:val="0"/>
        <w:spacing w:line="600" w:lineRule="exact"/>
        <w:ind w:firstLine="643"/>
        <w:rPr>
          <w:rFonts w:ascii="Times New Roman" w:hAnsi="Times New Roman" w:eastAsia="仿宋_GB2312"/>
          <w:sz w:val="32"/>
          <w:szCs w:val="32"/>
        </w:rPr>
      </w:pPr>
      <w:r>
        <w:rPr>
          <w:rFonts w:hint="eastAsia" w:ascii="Times New Roman" w:hAnsi="Times New Roman" w:eastAsia="仿宋_GB2312"/>
          <w:b/>
          <w:sz w:val="32"/>
          <w:szCs w:val="32"/>
        </w:rPr>
        <w:t>七是全力化解风险隐患。</w:t>
      </w:r>
      <w:r>
        <w:rPr>
          <w:rFonts w:hint="eastAsia" w:ascii="Times New Roman" w:hAnsi="Times New Roman" w:eastAsia="仿宋_GB2312"/>
          <w:sz w:val="32"/>
          <w:szCs w:val="32"/>
        </w:rPr>
        <w:t>安排法定债务还本付息支出12551万元，防范债务风险，避免政府违约，确保社会稳定。</w:t>
      </w:r>
    </w:p>
    <w:p>
      <w:pPr>
        <w:spacing w:line="600" w:lineRule="exact"/>
        <w:ind w:left="644"/>
        <w:outlineLvl w:val="0"/>
        <w:rPr>
          <w:rFonts w:ascii="Times New Roman" w:hAnsi="Times New Roman" w:eastAsia="黑体"/>
          <w:bCs/>
          <w:sz w:val="32"/>
          <w:szCs w:val="32"/>
        </w:rPr>
      </w:pPr>
      <w:r>
        <w:rPr>
          <w:rFonts w:hint="eastAsia" w:ascii="Times New Roman" w:hAnsi="Times New Roman" w:eastAsia="黑体"/>
          <w:bCs/>
          <w:sz w:val="32"/>
          <w:szCs w:val="32"/>
        </w:rPr>
        <w:t>四、</w:t>
      </w:r>
      <w:r>
        <w:rPr>
          <w:rFonts w:ascii="Times New Roman" w:hAnsi="Times New Roman" w:eastAsia="黑体"/>
          <w:bCs/>
          <w:sz w:val="32"/>
          <w:szCs w:val="32"/>
        </w:rPr>
        <w:t>2023</w:t>
      </w:r>
      <w:r>
        <w:rPr>
          <w:rFonts w:hint="eastAsia" w:ascii="Times New Roman" w:hAnsi="Times New Roman" w:eastAsia="黑体"/>
          <w:bCs/>
          <w:sz w:val="32"/>
          <w:szCs w:val="32"/>
        </w:rPr>
        <w:t>年财政主要工作</w:t>
      </w:r>
    </w:p>
    <w:p>
      <w:pPr>
        <w:spacing w:line="600" w:lineRule="exact"/>
        <w:ind w:left="7" w:right="18" w:firstLine="632"/>
        <w:rPr>
          <w:rFonts w:ascii="Times New Roman" w:hAnsi="Times New Roman" w:eastAsia="仿宋_GB2312"/>
          <w:bCs/>
          <w:sz w:val="32"/>
          <w:szCs w:val="32"/>
        </w:rPr>
      </w:pPr>
      <w:r>
        <w:rPr>
          <w:rFonts w:ascii="Times New Roman" w:hAnsi="Times New Roman" w:eastAsia="仿宋_GB2312"/>
          <w:bCs/>
          <w:sz w:val="32"/>
          <w:szCs w:val="32"/>
        </w:rPr>
        <w:t>2023</w:t>
      </w:r>
      <w:r>
        <w:rPr>
          <w:rFonts w:hint="eastAsia" w:ascii="Times New Roman" w:hAnsi="Times New Roman" w:eastAsia="仿宋_GB2312"/>
          <w:bCs/>
          <w:sz w:val="32"/>
          <w:szCs w:val="32"/>
        </w:rPr>
        <w:t>年，将坚决围绕市委部署，认真落实市人大决议，围绕预算安排，全面贯彻党中央</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国务院、省委省政府和市委、市政府、钒钛高新区党工委、管委会决策部署，严格执行预算法及其实施条例、《四川省预算审查监督条例》有关规定，认真落实市人大审查意见和决议决定，积极发挥财政职能作用，更高质量抓好财政各项工作，切实担负稳定财政经济运行责任。</w:t>
      </w:r>
    </w:p>
    <w:p>
      <w:pPr>
        <w:adjustRightInd w:val="0"/>
        <w:snapToGrid w:val="0"/>
        <w:spacing w:line="600" w:lineRule="exact"/>
        <w:ind w:firstLine="640"/>
        <w:outlineLvl w:val="1"/>
        <w:rPr>
          <w:rFonts w:ascii="Times New Roman" w:hAnsi="Times New Roman" w:eastAsia="楷体_GB2312"/>
          <w:b/>
          <w:sz w:val="32"/>
          <w:szCs w:val="32"/>
        </w:rPr>
      </w:pPr>
      <w:r>
        <w:rPr>
          <w:rFonts w:hint="eastAsia" w:ascii="Times New Roman" w:hAnsi="Times New Roman" w:eastAsia="楷体_GB2312"/>
          <w:b/>
          <w:sz w:val="32"/>
          <w:szCs w:val="32"/>
        </w:rPr>
        <w:t>（一）组织好收入。</w:t>
      </w:r>
    </w:p>
    <w:p>
      <w:pPr>
        <w:spacing w:line="600" w:lineRule="exact"/>
        <w:ind w:left="1" w:right="99" w:firstLine="632"/>
        <w:rPr>
          <w:rFonts w:ascii="Times New Roman" w:hAnsi="Times New Roman" w:eastAsia="仿宋_GB2312"/>
          <w:bCs/>
          <w:sz w:val="32"/>
          <w:szCs w:val="32"/>
        </w:rPr>
      </w:pPr>
      <w:r>
        <w:rPr>
          <w:rFonts w:hint="eastAsia" w:ascii="Times New Roman" w:hAnsi="Times New Roman" w:eastAsia="仿宋_GB2312"/>
          <w:bCs/>
          <w:sz w:val="32"/>
          <w:szCs w:val="32"/>
        </w:rPr>
        <w:t>聚焦财源税源抓经济，落实好减税降费政策实现“应减尽减、应退尽退”，精准落实直达机制惠企利民，持续赋能创新发展和产业升级，有效培育主体税源，增强财政收入增长后劲。坚持</w:t>
      </w:r>
      <w:r>
        <w:rPr>
          <w:rFonts w:ascii="Times New Roman" w:hAnsi="Times New Roman" w:eastAsia="仿宋_GB2312"/>
          <w:bCs/>
          <w:sz w:val="32"/>
          <w:szCs w:val="32"/>
        </w:rPr>
        <w:t>“</w:t>
      </w:r>
      <w:r>
        <w:rPr>
          <w:rFonts w:hint="eastAsia" w:ascii="Times New Roman" w:hAnsi="Times New Roman" w:eastAsia="仿宋_GB2312"/>
          <w:bCs/>
          <w:sz w:val="32"/>
          <w:szCs w:val="32"/>
        </w:rPr>
        <w:t>以旬保月、以月保季、以季保年</w:t>
      </w:r>
      <w:r>
        <w:rPr>
          <w:rFonts w:ascii="Times New Roman" w:hAnsi="Times New Roman" w:eastAsia="仿宋_GB2312"/>
          <w:bCs/>
          <w:sz w:val="32"/>
          <w:szCs w:val="32"/>
        </w:rPr>
        <w:t>”</w:t>
      </w:r>
      <w:r>
        <w:rPr>
          <w:rFonts w:hint="eastAsia" w:ascii="Times New Roman" w:hAnsi="Times New Roman" w:eastAsia="仿宋_GB2312"/>
          <w:bCs/>
          <w:sz w:val="32"/>
          <w:szCs w:val="32"/>
        </w:rPr>
        <w:t>思路，强化任务分解、运行调度、协同联动等措施，以项目化、精细化方式推进收入组织，强化税收协同共治实现“应收尽收”，全面挖掘非税收入增长潜力，积极组织政府性基金收入，提升财政收入质量，确保预期目标实现。</w:t>
      </w:r>
    </w:p>
    <w:p>
      <w:pPr>
        <w:adjustRightInd w:val="0"/>
        <w:snapToGrid w:val="0"/>
        <w:spacing w:line="600" w:lineRule="exact"/>
        <w:ind w:firstLine="640"/>
        <w:outlineLvl w:val="1"/>
        <w:rPr>
          <w:rFonts w:ascii="Times New Roman" w:hAnsi="Times New Roman" w:eastAsia="楷体_GB2312"/>
          <w:b/>
          <w:sz w:val="32"/>
          <w:szCs w:val="32"/>
        </w:rPr>
      </w:pPr>
      <w:r>
        <w:rPr>
          <w:rFonts w:hint="eastAsia" w:ascii="Times New Roman" w:hAnsi="Times New Roman" w:eastAsia="楷体_GB2312"/>
          <w:b/>
          <w:sz w:val="32"/>
          <w:szCs w:val="32"/>
        </w:rPr>
        <w:t>（二）争取好资金。</w:t>
      </w:r>
    </w:p>
    <w:p>
      <w:pPr>
        <w:spacing w:line="600" w:lineRule="exact"/>
        <w:ind w:left="6" w:firstLine="636"/>
        <w:rPr>
          <w:rFonts w:ascii="宋体" w:cs="宋体"/>
          <w:sz w:val="31"/>
          <w:szCs w:val="31"/>
        </w:rPr>
      </w:pPr>
      <w:r>
        <w:rPr>
          <w:rFonts w:hint="eastAsia" w:ascii="Times New Roman" w:hAnsi="Times New Roman" w:eastAsia="仿宋_GB2312"/>
          <w:bCs/>
          <w:sz w:val="32"/>
          <w:szCs w:val="32"/>
        </w:rPr>
        <w:t>牢牢把握省委支持攀枝花建设共同富裕试验区有利契机，聚焦积极的财政政策要提升效能，围绕市委加快建设现代化产业体系、建设高品质生活宜居地等重大战略部署，加强财政与金融、土地、产业、投资等领域政策协同，及时跟踪掌握国省重大规划论证、重大政策制定、重大资金安排动向，会同有关部门全力争取省级部门支持，做实争资基础、强化部门联动、精准对接衔接，争取更多政策和专项转移支付资金支持。全力争取一般性转移支付增量。在债务限额内依法举债，做好项目库管理、加强偿债能力评估，加大新增地方政府债券争取力度。</w:t>
      </w:r>
    </w:p>
    <w:p>
      <w:pPr>
        <w:adjustRightInd w:val="0"/>
        <w:snapToGrid w:val="0"/>
        <w:spacing w:line="600" w:lineRule="exact"/>
        <w:ind w:firstLine="640"/>
        <w:outlineLvl w:val="1"/>
        <w:rPr>
          <w:rFonts w:ascii="Times New Roman" w:hAnsi="Times New Roman" w:eastAsia="楷体_GB2312"/>
          <w:b/>
          <w:sz w:val="32"/>
          <w:szCs w:val="32"/>
        </w:rPr>
      </w:pPr>
      <w:r>
        <w:rPr>
          <w:rFonts w:hint="eastAsia" w:ascii="Times New Roman" w:hAnsi="Times New Roman" w:eastAsia="楷体_GB2312"/>
          <w:b/>
          <w:sz w:val="32"/>
          <w:szCs w:val="32"/>
        </w:rPr>
        <w:t>（三）管理好支出。</w:t>
      </w:r>
    </w:p>
    <w:p>
      <w:pPr>
        <w:spacing w:line="600" w:lineRule="exact"/>
        <w:ind w:firstLine="753"/>
        <w:rPr>
          <w:rFonts w:ascii="Times New Roman" w:hAnsi="Times New Roman" w:eastAsia="仿宋_GB2312"/>
          <w:bCs/>
          <w:sz w:val="32"/>
          <w:szCs w:val="32"/>
        </w:rPr>
      </w:pPr>
      <w:r>
        <w:rPr>
          <w:rFonts w:hint="eastAsia" w:ascii="Times New Roman" w:hAnsi="Times New Roman" w:eastAsia="仿宋_GB2312"/>
          <w:bCs/>
          <w:sz w:val="32"/>
          <w:szCs w:val="32"/>
        </w:rPr>
        <w:t>聚焦</w:t>
      </w:r>
      <w:r>
        <w:rPr>
          <w:rFonts w:ascii="Times New Roman" w:hAnsi="Times New Roman" w:eastAsia="仿宋_GB2312"/>
          <w:bCs/>
          <w:sz w:val="32"/>
          <w:szCs w:val="32"/>
        </w:rPr>
        <w:t>“</w:t>
      </w:r>
      <w:r>
        <w:rPr>
          <w:rFonts w:hint="eastAsia" w:ascii="Times New Roman" w:hAnsi="Times New Roman" w:eastAsia="仿宋_GB2312"/>
          <w:bCs/>
          <w:sz w:val="32"/>
          <w:szCs w:val="32"/>
        </w:rPr>
        <w:t>过紧日子</w:t>
      </w:r>
      <w:r>
        <w:rPr>
          <w:rFonts w:ascii="Times New Roman" w:hAnsi="Times New Roman" w:eastAsia="仿宋_GB2312"/>
          <w:bCs/>
          <w:sz w:val="32"/>
          <w:szCs w:val="32"/>
        </w:rPr>
        <w:t>”</w:t>
      </w:r>
      <w:r>
        <w:rPr>
          <w:rFonts w:hint="eastAsia" w:ascii="Times New Roman" w:hAnsi="Times New Roman" w:eastAsia="仿宋_GB2312"/>
          <w:bCs/>
          <w:sz w:val="32"/>
          <w:szCs w:val="32"/>
        </w:rPr>
        <w:t>，精打细算使用好每一笔财政支出，继续严控一般性支出、</w:t>
      </w:r>
      <w:r>
        <w:rPr>
          <w:rFonts w:ascii="Times New Roman" w:hAnsi="Times New Roman" w:eastAsia="仿宋_GB2312"/>
          <w:bCs/>
          <w:sz w:val="32"/>
          <w:szCs w:val="32"/>
        </w:rPr>
        <w:t>“</w:t>
      </w:r>
      <w:r>
        <w:rPr>
          <w:rFonts w:hint="eastAsia" w:ascii="Times New Roman" w:hAnsi="Times New Roman" w:eastAsia="仿宋_GB2312"/>
          <w:bCs/>
          <w:sz w:val="32"/>
          <w:szCs w:val="32"/>
        </w:rPr>
        <w:t>三公</w:t>
      </w:r>
      <w:r>
        <w:rPr>
          <w:rFonts w:ascii="Times New Roman" w:hAnsi="Times New Roman" w:eastAsia="仿宋_GB2312"/>
          <w:bCs/>
          <w:sz w:val="32"/>
          <w:szCs w:val="32"/>
        </w:rPr>
        <w:t>”</w:t>
      </w:r>
      <w:r>
        <w:rPr>
          <w:rFonts w:hint="eastAsia" w:ascii="Times New Roman" w:hAnsi="Times New Roman" w:eastAsia="仿宋_GB2312"/>
          <w:bCs/>
          <w:sz w:val="32"/>
          <w:szCs w:val="32"/>
        </w:rPr>
        <w:t>经费等，大力削减低效支出、取消无效支出。聚焦强化资金协同，强化部门和单位收入统筹管理，完善全面综合预算体系，加大财政拨款资金结构调整和非财政拨款资金统筹使用力度，提高财政资金跨年度配置效率。聚焦兜牢</w:t>
      </w:r>
      <w:r>
        <w:rPr>
          <w:rFonts w:ascii="Times New Roman" w:hAnsi="Times New Roman" w:eastAsia="仿宋_GB2312"/>
          <w:bCs/>
          <w:sz w:val="32"/>
          <w:szCs w:val="32"/>
        </w:rPr>
        <w:t>“</w:t>
      </w:r>
      <w:r>
        <w:rPr>
          <w:rFonts w:hint="eastAsia" w:ascii="Times New Roman" w:hAnsi="Times New Roman" w:eastAsia="仿宋_GB2312"/>
          <w:bCs/>
          <w:sz w:val="32"/>
          <w:szCs w:val="32"/>
        </w:rPr>
        <w:t>三保</w:t>
      </w:r>
      <w:r>
        <w:rPr>
          <w:rFonts w:ascii="Times New Roman" w:hAnsi="Times New Roman" w:eastAsia="仿宋_GB2312"/>
          <w:bCs/>
          <w:sz w:val="32"/>
          <w:szCs w:val="32"/>
        </w:rPr>
        <w:t>”</w:t>
      </w:r>
      <w:r>
        <w:rPr>
          <w:rFonts w:hint="eastAsia" w:ascii="Times New Roman" w:hAnsi="Times New Roman" w:eastAsia="仿宋_GB2312"/>
          <w:bCs/>
          <w:sz w:val="32"/>
          <w:szCs w:val="32"/>
        </w:rPr>
        <w:t>底线，统筹有限财力保基本民生、保工资、保运转和疫情防控。对国家、省民生支出政策做到应保必保、兜牢底线，本地民生支出政策坚持量力而行、尽力而为，健全“三保”清单标准管理和动态调整机制，提高民生政策有效性和可持续性。聚焦推动重大战略部署落地，量力而行匹配财政资金，发挥财政资金引导带动作用。聚焦保持财政支出强度，加快转移支付和直达资金分配使用，及时清理收回执行差的财政资金，确保财政资金不“趴窝”；加强债券资金项目进度监控，推动资金到位后尽快形成实物工作量，发挥专项债券对扩大有效投资的带动作用。</w:t>
      </w:r>
    </w:p>
    <w:p>
      <w:pPr>
        <w:adjustRightInd w:val="0"/>
        <w:snapToGrid w:val="0"/>
        <w:spacing w:line="600" w:lineRule="exact"/>
        <w:ind w:firstLine="640"/>
        <w:outlineLvl w:val="1"/>
        <w:rPr>
          <w:rFonts w:ascii="Times New Roman" w:hAnsi="Times New Roman" w:eastAsia="楷体_GB2312"/>
          <w:b/>
          <w:sz w:val="32"/>
          <w:szCs w:val="32"/>
        </w:rPr>
      </w:pPr>
      <w:r>
        <w:rPr>
          <w:rFonts w:hint="eastAsia" w:ascii="Times New Roman" w:hAnsi="Times New Roman" w:eastAsia="楷体_GB2312"/>
          <w:b/>
          <w:sz w:val="32"/>
          <w:szCs w:val="32"/>
        </w:rPr>
        <w:t>（四）防控好风险。</w:t>
      </w:r>
    </w:p>
    <w:p>
      <w:pPr>
        <w:adjustRightInd w:val="0"/>
        <w:snapToGrid w:val="0"/>
        <w:spacing w:line="600" w:lineRule="exact"/>
        <w:ind w:firstLine="643"/>
        <w:rPr>
          <w:rFonts w:ascii="Times New Roman" w:hAnsi="Times New Roman" w:eastAsia="仿宋_GB2312"/>
          <w:sz w:val="32"/>
          <w:szCs w:val="32"/>
        </w:rPr>
      </w:pPr>
      <w:r>
        <w:rPr>
          <w:rFonts w:hint="eastAsia" w:ascii="Times New Roman" w:hAnsi="Times New Roman" w:eastAsia="仿宋_GB2312"/>
          <w:bCs/>
          <w:sz w:val="32"/>
          <w:szCs w:val="32"/>
        </w:rPr>
        <w:t>统筹发展和安全，防范化解财政运行风险，牢牢守住不发生区域性系统性风险的底线。健全政府债务“借用管还”全过程、常态化监管体系，提高新增政府债券使用绩效，避免债券资金闲置、使用效率低、投向不合规等问题，落实“谁使用、谁偿还”要求。妥善化解存量隐性债务，避免“化解风险的风险”，完善跨部门信息共享和协同监管机制，加强风险源头管控，坚决遏制新增隐性债务。积极稳妥化解存量隐性债务，逐级压实防范化解重大风险主体责任，积极稳妥开展分类处置，逐步降低债务风险。加大对风险防控重点县（区）的指导，完善预算审核、专户管理、纾困应急、挂牌督导等机制。密切跟踪监测财政收支运行、库款保障等情况，加强库款动态管理和差异化调度，确保基层财政安全有序运转。</w:t>
      </w:r>
      <w:r>
        <w:rPr>
          <w:rFonts w:hint="eastAsia" w:ascii="Times New Roman" w:hAnsi="Times New Roman" w:eastAsia="仿宋_GB2312"/>
          <w:sz w:val="32"/>
          <w:szCs w:val="32"/>
        </w:rPr>
        <w:t>持续加强全过程财政监督，强化财会监督与其他监督的贯穿协调，</w:t>
      </w:r>
      <w:r>
        <w:rPr>
          <w:rFonts w:hint="eastAsia" w:ascii="Times New Roman" w:hAnsi="Times New Roman" w:eastAsia="仿宋_GB2312"/>
          <w:bCs/>
          <w:sz w:val="32"/>
          <w:szCs w:val="32"/>
        </w:rPr>
        <w:t>进一步严肃财经纪律、规范财经秩序、维护法纪权威</w:t>
      </w:r>
      <w:r>
        <w:rPr>
          <w:rFonts w:hint="eastAsia" w:ascii="Times New Roman" w:hAnsi="Times New Roman" w:eastAsia="仿宋_GB2312"/>
          <w:sz w:val="32"/>
          <w:szCs w:val="32"/>
        </w:rPr>
        <w:t>。持续做好经济责任审计涉财问题整改，强化建章立制、堵塞管理漏洞。</w:t>
      </w:r>
    </w:p>
    <w:p>
      <w:pPr>
        <w:adjustRightInd w:val="0"/>
        <w:snapToGrid w:val="0"/>
        <w:spacing w:line="600" w:lineRule="exact"/>
        <w:ind w:firstLine="640"/>
        <w:outlineLvl w:val="1"/>
        <w:rPr>
          <w:rFonts w:ascii="Times New Roman" w:hAnsi="Times New Roman" w:eastAsia="楷体_GB2312"/>
          <w:b/>
          <w:sz w:val="32"/>
          <w:szCs w:val="32"/>
        </w:rPr>
      </w:pPr>
      <w:r>
        <w:rPr>
          <w:rFonts w:hint="eastAsia" w:ascii="Times New Roman" w:hAnsi="Times New Roman" w:eastAsia="楷体_GB2312"/>
          <w:b/>
          <w:sz w:val="32"/>
          <w:szCs w:val="32"/>
        </w:rPr>
        <w:t>（五）推进好改革。</w:t>
      </w:r>
    </w:p>
    <w:p>
      <w:pPr>
        <w:adjustRightInd w:val="0"/>
        <w:snapToGrid w:val="0"/>
        <w:spacing w:line="600" w:lineRule="exact"/>
        <w:ind w:firstLine="643"/>
        <w:rPr>
          <w:rFonts w:ascii="Times New Roman" w:hAnsi="Times New Roman" w:eastAsia="仿宋_GB2312"/>
          <w:sz w:val="32"/>
          <w:szCs w:val="32"/>
        </w:rPr>
      </w:pPr>
      <w:r>
        <w:rPr>
          <w:rFonts w:hint="eastAsia" w:ascii="Times New Roman" w:hAnsi="Times New Roman" w:eastAsia="仿宋_GB2312"/>
          <w:bCs/>
          <w:sz w:val="32"/>
          <w:szCs w:val="32"/>
        </w:rPr>
        <w:t>深入推进预算管理一体化，以信息化推进预算管理现代化。坚持零基预算改革，据实确定部门预算和专项资金，打破部门基数概念和支出固化僵化格局，完善专项资金评估退出机制，促进资金合理流动、高效集聚。深化支出标准体系建设，针对网络信息维护建设、劳务等重点支出领域继续开展标准制定完善。巩固预算绩效管理改革成果，进一步完善预算绩效管理机制，优化绩效评价方式，压实</w:t>
      </w:r>
      <w:r>
        <w:rPr>
          <w:rFonts w:hint="eastAsia" w:ascii="Times New Roman" w:hAnsi="Times New Roman" w:eastAsia="仿宋_GB2312"/>
          <w:sz w:val="32"/>
          <w:szCs w:val="32"/>
        </w:rPr>
        <w:t>部门（单位）预算、政策支出、项目支出“三张清单”责任，</w:t>
      </w:r>
      <w:r>
        <w:rPr>
          <w:rFonts w:hint="eastAsia" w:ascii="Times New Roman" w:hAnsi="Times New Roman" w:eastAsia="仿宋_GB2312"/>
          <w:bCs/>
          <w:sz w:val="32"/>
          <w:szCs w:val="32"/>
        </w:rPr>
        <w:t>以实施预算安排与绩效结果全程挂钩、健全财政政策评估退出机制为重点，持续健全预算绩效激励约束机制。继续推进重点领域市与钒钛高新区财政事权和支出责任划分改革，进一步理顺权责关系，理</w:t>
      </w:r>
      <w:r>
        <w:rPr>
          <w:rFonts w:hint="eastAsia" w:ascii="Times New Roman" w:hAnsi="Times New Roman" w:eastAsia="仿宋_GB2312"/>
          <w:sz w:val="32"/>
          <w:szCs w:val="32"/>
        </w:rPr>
        <w:t>清市与钒钛高新区财政支出责任边界，依照权责推进支出下沉，进一步激发县域经济发展活力。</w:t>
      </w:r>
    </w:p>
    <w:p>
      <w:pPr>
        <w:spacing w:line="600" w:lineRule="exact"/>
        <w:ind w:firstLine="640" w:firstLineChars="200"/>
        <w:rPr>
          <w:rFonts w:ascii="Times New Roman" w:hAnsi="Times New Roman" w:eastAsia="方正楷体_GBK"/>
          <w:sz w:val="32"/>
          <w:szCs w:val="32"/>
        </w:rPr>
      </w:pPr>
      <w:r>
        <w:rPr>
          <w:rFonts w:hint="eastAsia" w:ascii="Times New Roman" w:hAnsi="Times New Roman" w:eastAsia="仿宋_GB2312"/>
          <w:sz w:val="32"/>
          <w:szCs w:val="32"/>
        </w:rPr>
        <w:t>我们将在市委、市政府和钒钛高新区党工委、管委会的坚强领导下，加强与市财政沟通汇报，贯彻落实党的二十大精神，自觉接受人大、政协的监督指导，坚定信心、主动作为、迎难而上，履行财政使命、发挥财政职能，扎实做好财政各项工作，为推进攀枝花钒钛高新区高质量发展建设共同富裕试验区，加快建设区域现代化中心城市做出更大贡献。</w:t>
      </w:r>
    </w:p>
    <w:sectPr>
      <w:footerReference r:id="rId3"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ourier New">
    <w:altName w:val="DejaVu Sans"/>
    <w:panose1 w:val="02070309020205020404"/>
    <w:charset w:val="00"/>
    <w:family w:val="moder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Times-Roman">
    <w:altName w:val="DejaVu Sans"/>
    <w:panose1 w:val="00000000000000000000"/>
    <w:charset w:val="00"/>
    <w:family w:val="roman"/>
    <w:pitch w:val="default"/>
    <w:sig w:usb0="00000000" w:usb1="00000000" w:usb2="00000000" w:usb3="00000000" w:csb0="00000001" w:csb1="00000000"/>
  </w:font>
  <w:font w:name="方正小标宋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845"/>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- 6 -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vXQbdjcCAABvBAAADgAAAAAAAAAB&#10;ACAAAAA1AQAAZHJzL2Uyb0RvYy54bWxQSwUGAAAAAAYABgBZAQAA3gUAAAAA&#10;">
              <v:fill on="f" focussize="0,0"/>
              <v:stroke on="f" weight="0.5pt"/>
              <v:imagedata o:title=""/>
              <o:lock v:ext="edit" aspectratio="f"/>
              <v:textbox inset="0mm,0mm,0mm,0mm" style="mso-fit-shape-to-text:t;">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- 6 -</w:t>
                    </w:r>
                    <w:r>
                      <w:rPr>
                        <w:rFonts w:ascii="宋体" w:hAnsi="宋体" w:cs="宋体"/>
                        <w:sz w:val="28"/>
                        <w:szCs w:val="28"/>
                      </w:rPr>
                      <w:fldChar w:fldCharType="end"/>
                    </w:r>
                  </w:p>
                </w:txbxContent>
              </v:textbox>
            </v:shape>
          </w:pict>
        </mc:Fallback>
      </mc:AlternateContent>
    </w:r>
    <w:r>
      <w:tab/>
    </w:r>
  </w:p>
  <w:p>
    <w:pPr>
      <w:pStyle w:val="5"/>
      <w:tabs>
        <w:tab w:val="right" w:pos="8845"/>
        <w:tab w:val="clear" w:pos="4153"/>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479A7"/>
    <w:rsid w:val="00005C08"/>
    <w:rsid w:val="00012D12"/>
    <w:rsid w:val="00014C49"/>
    <w:rsid w:val="0001642B"/>
    <w:rsid w:val="0002090D"/>
    <w:rsid w:val="000227F5"/>
    <w:rsid w:val="0002496F"/>
    <w:rsid w:val="00024F04"/>
    <w:rsid w:val="0003109D"/>
    <w:rsid w:val="0003120C"/>
    <w:rsid w:val="000319BF"/>
    <w:rsid w:val="00031E32"/>
    <w:rsid w:val="0003271A"/>
    <w:rsid w:val="000331FC"/>
    <w:rsid w:val="00035826"/>
    <w:rsid w:val="00035AA9"/>
    <w:rsid w:val="000426B6"/>
    <w:rsid w:val="00042EF5"/>
    <w:rsid w:val="000435C6"/>
    <w:rsid w:val="000436A1"/>
    <w:rsid w:val="00044342"/>
    <w:rsid w:val="00055BF8"/>
    <w:rsid w:val="00057B25"/>
    <w:rsid w:val="0006697E"/>
    <w:rsid w:val="00067875"/>
    <w:rsid w:val="000729BD"/>
    <w:rsid w:val="00072CE2"/>
    <w:rsid w:val="00075D62"/>
    <w:rsid w:val="00081027"/>
    <w:rsid w:val="00082421"/>
    <w:rsid w:val="0008514F"/>
    <w:rsid w:val="0009114F"/>
    <w:rsid w:val="00095561"/>
    <w:rsid w:val="00096CC5"/>
    <w:rsid w:val="000A45D8"/>
    <w:rsid w:val="000A71E4"/>
    <w:rsid w:val="000B3A8D"/>
    <w:rsid w:val="000B71A7"/>
    <w:rsid w:val="000B7390"/>
    <w:rsid w:val="000C5941"/>
    <w:rsid w:val="000D1D0C"/>
    <w:rsid w:val="000D39DE"/>
    <w:rsid w:val="000D3DF9"/>
    <w:rsid w:val="000E2FE6"/>
    <w:rsid w:val="000E5A02"/>
    <w:rsid w:val="000E670A"/>
    <w:rsid w:val="00105918"/>
    <w:rsid w:val="001062D6"/>
    <w:rsid w:val="00107A2F"/>
    <w:rsid w:val="00110859"/>
    <w:rsid w:val="00111544"/>
    <w:rsid w:val="001145D1"/>
    <w:rsid w:val="001148AC"/>
    <w:rsid w:val="00115BE4"/>
    <w:rsid w:val="00115DD8"/>
    <w:rsid w:val="00116B8F"/>
    <w:rsid w:val="00124897"/>
    <w:rsid w:val="00124ADC"/>
    <w:rsid w:val="00131574"/>
    <w:rsid w:val="001336B2"/>
    <w:rsid w:val="0013615B"/>
    <w:rsid w:val="00137E52"/>
    <w:rsid w:val="00150AE4"/>
    <w:rsid w:val="00151386"/>
    <w:rsid w:val="001514D1"/>
    <w:rsid w:val="001561A1"/>
    <w:rsid w:val="001604E6"/>
    <w:rsid w:val="00163909"/>
    <w:rsid w:val="00181018"/>
    <w:rsid w:val="00183DBA"/>
    <w:rsid w:val="00186AA8"/>
    <w:rsid w:val="0018737D"/>
    <w:rsid w:val="00190D1E"/>
    <w:rsid w:val="00191ADF"/>
    <w:rsid w:val="001933D5"/>
    <w:rsid w:val="00193FE6"/>
    <w:rsid w:val="00194C8E"/>
    <w:rsid w:val="00195C68"/>
    <w:rsid w:val="001967B3"/>
    <w:rsid w:val="001A05AF"/>
    <w:rsid w:val="001A1466"/>
    <w:rsid w:val="001A21B9"/>
    <w:rsid w:val="001A7AC6"/>
    <w:rsid w:val="001B2BB0"/>
    <w:rsid w:val="001B5D85"/>
    <w:rsid w:val="001B6687"/>
    <w:rsid w:val="001B69E0"/>
    <w:rsid w:val="001B7773"/>
    <w:rsid w:val="001C23E6"/>
    <w:rsid w:val="001C41CB"/>
    <w:rsid w:val="001C553E"/>
    <w:rsid w:val="001D606B"/>
    <w:rsid w:val="001E38FD"/>
    <w:rsid w:val="001F0FD9"/>
    <w:rsid w:val="001F2CC3"/>
    <w:rsid w:val="001F3770"/>
    <w:rsid w:val="001F41C4"/>
    <w:rsid w:val="001F5E6B"/>
    <w:rsid w:val="002021C9"/>
    <w:rsid w:val="00203CC9"/>
    <w:rsid w:val="00210628"/>
    <w:rsid w:val="002115BE"/>
    <w:rsid w:val="00212813"/>
    <w:rsid w:val="002215B3"/>
    <w:rsid w:val="00223107"/>
    <w:rsid w:val="00224584"/>
    <w:rsid w:val="00232C85"/>
    <w:rsid w:val="00232F2B"/>
    <w:rsid w:val="00233B25"/>
    <w:rsid w:val="00233EE3"/>
    <w:rsid w:val="00234843"/>
    <w:rsid w:val="00236AFF"/>
    <w:rsid w:val="0024039C"/>
    <w:rsid w:val="002424BD"/>
    <w:rsid w:val="0024252B"/>
    <w:rsid w:val="00242F3B"/>
    <w:rsid w:val="00242F5B"/>
    <w:rsid w:val="00244891"/>
    <w:rsid w:val="00247079"/>
    <w:rsid w:val="00247576"/>
    <w:rsid w:val="002507BF"/>
    <w:rsid w:val="00253EF4"/>
    <w:rsid w:val="002540E4"/>
    <w:rsid w:val="00261633"/>
    <w:rsid w:val="00263208"/>
    <w:rsid w:val="0027264E"/>
    <w:rsid w:val="00273A05"/>
    <w:rsid w:val="0027554E"/>
    <w:rsid w:val="00275EA0"/>
    <w:rsid w:val="00277895"/>
    <w:rsid w:val="00283F10"/>
    <w:rsid w:val="00287430"/>
    <w:rsid w:val="002944B0"/>
    <w:rsid w:val="002968E7"/>
    <w:rsid w:val="002A2266"/>
    <w:rsid w:val="002A51D2"/>
    <w:rsid w:val="002A526A"/>
    <w:rsid w:val="002A5CFE"/>
    <w:rsid w:val="002A6792"/>
    <w:rsid w:val="002A6C58"/>
    <w:rsid w:val="002B0E33"/>
    <w:rsid w:val="002B7184"/>
    <w:rsid w:val="002C216A"/>
    <w:rsid w:val="002C6EA4"/>
    <w:rsid w:val="002D021B"/>
    <w:rsid w:val="002E27C3"/>
    <w:rsid w:val="002E50AA"/>
    <w:rsid w:val="002E73B9"/>
    <w:rsid w:val="002F1D45"/>
    <w:rsid w:val="002F343A"/>
    <w:rsid w:val="002F520F"/>
    <w:rsid w:val="002F5E1E"/>
    <w:rsid w:val="002F6FBF"/>
    <w:rsid w:val="0030061D"/>
    <w:rsid w:val="003045D5"/>
    <w:rsid w:val="003045F2"/>
    <w:rsid w:val="00304710"/>
    <w:rsid w:val="0030766B"/>
    <w:rsid w:val="00307A3E"/>
    <w:rsid w:val="003119A7"/>
    <w:rsid w:val="00312F5F"/>
    <w:rsid w:val="00313177"/>
    <w:rsid w:val="003149D1"/>
    <w:rsid w:val="00315838"/>
    <w:rsid w:val="003165FA"/>
    <w:rsid w:val="003174B4"/>
    <w:rsid w:val="00317EFA"/>
    <w:rsid w:val="00327DA3"/>
    <w:rsid w:val="0033730E"/>
    <w:rsid w:val="00337834"/>
    <w:rsid w:val="003444A2"/>
    <w:rsid w:val="00345909"/>
    <w:rsid w:val="00353A42"/>
    <w:rsid w:val="00353E6B"/>
    <w:rsid w:val="003565EE"/>
    <w:rsid w:val="00356F74"/>
    <w:rsid w:val="003632AD"/>
    <w:rsid w:val="00365BC6"/>
    <w:rsid w:val="00370488"/>
    <w:rsid w:val="003710DD"/>
    <w:rsid w:val="003729F6"/>
    <w:rsid w:val="003745BA"/>
    <w:rsid w:val="0037704F"/>
    <w:rsid w:val="0037777E"/>
    <w:rsid w:val="003824EB"/>
    <w:rsid w:val="003858E1"/>
    <w:rsid w:val="0038797B"/>
    <w:rsid w:val="00390C1A"/>
    <w:rsid w:val="00390E2D"/>
    <w:rsid w:val="00396F73"/>
    <w:rsid w:val="00397A0F"/>
    <w:rsid w:val="003A10FD"/>
    <w:rsid w:val="003A173A"/>
    <w:rsid w:val="003A520F"/>
    <w:rsid w:val="003A683B"/>
    <w:rsid w:val="003A751A"/>
    <w:rsid w:val="003A7BA5"/>
    <w:rsid w:val="003B02F4"/>
    <w:rsid w:val="003C63B8"/>
    <w:rsid w:val="003C6DBC"/>
    <w:rsid w:val="003D05D7"/>
    <w:rsid w:val="003D0C09"/>
    <w:rsid w:val="003D138B"/>
    <w:rsid w:val="003D248B"/>
    <w:rsid w:val="003D2F00"/>
    <w:rsid w:val="003D2F2F"/>
    <w:rsid w:val="003D2FCD"/>
    <w:rsid w:val="003E3EB9"/>
    <w:rsid w:val="00403EFA"/>
    <w:rsid w:val="00406ED3"/>
    <w:rsid w:val="00420590"/>
    <w:rsid w:val="00427367"/>
    <w:rsid w:val="00436BB7"/>
    <w:rsid w:val="00444DCA"/>
    <w:rsid w:val="004464F3"/>
    <w:rsid w:val="00450407"/>
    <w:rsid w:val="00450454"/>
    <w:rsid w:val="00450849"/>
    <w:rsid w:val="00453E33"/>
    <w:rsid w:val="004546D6"/>
    <w:rsid w:val="00454C63"/>
    <w:rsid w:val="0046377E"/>
    <w:rsid w:val="00465CB1"/>
    <w:rsid w:val="00470C53"/>
    <w:rsid w:val="00476B10"/>
    <w:rsid w:val="00477186"/>
    <w:rsid w:val="0047755B"/>
    <w:rsid w:val="00486975"/>
    <w:rsid w:val="00490E84"/>
    <w:rsid w:val="0049266F"/>
    <w:rsid w:val="004950C5"/>
    <w:rsid w:val="004A36BA"/>
    <w:rsid w:val="004B595F"/>
    <w:rsid w:val="004B604B"/>
    <w:rsid w:val="004C0A81"/>
    <w:rsid w:val="004C2AF3"/>
    <w:rsid w:val="004C3164"/>
    <w:rsid w:val="004C3752"/>
    <w:rsid w:val="004C7A68"/>
    <w:rsid w:val="004D37AA"/>
    <w:rsid w:val="004D6D20"/>
    <w:rsid w:val="004E4DE9"/>
    <w:rsid w:val="004E5153"/>
    <w:rsid w:val="004E64BA"/>
    <w:rsid w:val="004E7F60"/>
    <w:rsid w:val="004F2124"/>
    <w:rsid w:val="004F3A81"/>
    <w:rsid w:val="004F627F"/>
    <w:rsid w:val="004F7D16"/>
    <w:rsid w:val="00500BB1"/>
    <w:rsid w:val="00501349"/>
    <w:rsid w:val="00503CBF"/>
    <w:rsid w:val="00507B19"/>
    <w:rsid w:val="00511FCC"/>
    <w:rsid w:val="00515B05"/>
    <w:rsid w:val="0052344C"/>
    <w:rsid w:val="00523762"/>
    <w:rsid w:val="00530461"/>
    <w:rsid w:val="00532DC3"/>
    <w:rsid w:val="0053360A"/>
    <w:rsid w:val="00533EEB"/>
    <w:rsid w:val="005364EF"/>
    <w:rsid w:val="005405D3"/>
    <w:rsid w:val="00543652"/>
    <w:rsid w:val="00546B71"/>
    <w:rsid w:val="00551C91"/>
    <w:rsid w:val="005521E7"/>
    <w:rsid w:val="00552DB4"/>
    <w:rsid w:val="00560FA9"/>
    <w:rsid w:val="00562C33"/>
    <w:rsid w:val="00565EC7"/>
    <w:rsid w:val="00566399"/>
    <w:rsid w:val="00567DDB"/>
    <w:rsid w:val="00573824"/>
    <w:rsid w:val="00574A2C"/>
    <w:rsid w:val="00575F63"/>
    <w:rsid w:val="00580C89"/>
    <w:rsid w:val="00581047"/>
    <w:rsid w:val="005836B0"/>
    <w:rsid w:val="005906A4"/>
    <w:rsid w:val="005A0BD1"/>
    <w:rsid w:val="005A35BF"/>
    <w:rsid w:val="005A574D"/>
    <w:rsid w:val="005A6797"/>
    <w:rsid w:val="005A7D8E"/>
    <w:rsid w:val="005B6F21"/>
    <w:rsid w:val="005C09E6"/>
    <w:rsid w:val="005C27AA"/>
    <w:rsid w:val="005C30AE"/>
    <w:rsid w:val="005C718F"/>
    <w:rsid w:val="005D106A"/>
    <w:rsid w:val="005D112C"/>
    <w:rsid w:val="005D3DF2"/>
    <w:rsid w:val="005D439F"/>
    <w:rsid w:val="005E363D"/>
    <w:rsid w:val="005E4D0E"/>
    <w:rsid w:val="005E70A2"/>
    <w:rsid w:val="005F276C"/>
    <w:rsid w:val="005F393C"/>
    <w:rsid w:val="005F454B"/>
    <w:rsid w:val="00600A47"/>
    <w:rsid w:val="0060751B"/>
    <w:rsid w:val="006129DE"/>
    <w:rsid w:val="006155DA"/>
    <w:rsid w:val="006219D6"/>
    <w:rsid w:val="00623BB4"/>
    <w:rsid w:val="006241D5"/>
    <w:rsid w:val="006300FE"/>
    <w:rsid w:val="00630163"/>
    <w:rsid w:val="00632DCC"/>
    <w:rsid w:val="006334A1"/>
    <w:rsid w:val="006353BC"/>
    <w:rsid w:val="00636727"/>
    <w:rsid w:val="00640B2D"/>
    <w:rsid w:val="00641CE7"/>
    <w:rsid w:val="006422AA"/>
    <w:rsid w:val="0064271E"/>
    <w:rsid w:val="00654BB2"/>
    <w:rsid w:val="00655999"/>
    <w:rsid w:val="00655DF4"/>
    <w:rsid w:val="00660B4D"/>
    <w:rsid w:val="00661319"/>
    <w:rsid w:val="0066242B"/>
    <w:rsid w:val="00662D22"/>
    <w:rsid w:val="0066436B"/>
    <w:rsid w:val="00665A79"/>
    <w:rsid w:val="0066774D"/>
    <w:rsid w:val="00673C89"/>
    <w:rsid w:val="00674B0A"/>
    <w:rsid w:val="00680E19"/>
    <w:rsid w:val="006858F0"/>
    <w:rsid w:val="006876EC"/>
    <w:rsid w:val="00691ADC"/>
    <w:rsid w:val="00692809"/>
    <w:rsid w:val="0069579C"/>
    <w:rsid w:val="006A09DC"/>
    <w:rsid w:val="006A1C9E"/>
    <w:rsid w:val="006A257B"/>
    <w:rsid w:val="006A2E43"/>
    <w:rsid w:val="006A4344"/>
    <w:rsid w:val="006A552B"/>
    <w:rsid w:val="006A6866"/>
    <w:rsid w:val="006B35AD"/>
    <w:rsid w:val="006B443C"/>
    <w:rsid w:val="006B5142"/>
    <w:rsid w:val="006C1B60"/>
    <w:rsid w:val="006C1E76"/>
    <w:rsid w:val="006C4817"/>
    <w:rsid w:val="006C626C"/>
    <w:rsid w:val="006C72FA"/>
    <w:rsid w:val="006D6375"/>
    <w:rsid w:val="006D6C08"/>
    <w:rsid w:val="006E1F69"/>
    <w:rsid w:val="006E4829"/>
    <w:rsid w:val="006E7507"/>
    <w:rsid w:val="006F0A01"/>
    <w:rsid w:val="006F1613"/>
    <w:rsid w:val="006F1A60"/>
    <w:rsid w:val="006F7BA0"/>
    <w:rsid w:val="00700E38"/>
    <w:rsid w:val="00701144"/>
    <w:rsid w:val="00704C50"/>
    <w:rsid w:val="00714D40"/>
    <w:rsid w:val="00723871"/>
    <w:rsid w:val="007241F5"/>
    <w:rsid w:val="007243F0"/>
    <w:rsid w:val="00727939"/>
    <w:rsid w:val="0073060B"/>
    <w:rsid w:val="007313DB"/>
    <w:rsid w:val="00732F3C"/>
    <w:rsid w:val="00733E3E"/>
    <w:rsid w:val="0073524D"/>
    <w:rsid w:val="00737839"/>
    <w:rsid w:val="00740C21"/>
    <w:rsid w:val="00751976"/>
    <w:rsid w:val="00751ACC"/>
    <w:rsid w:val="00751BD7"/>
    <w:rsid w:val="007543FF"/>
    <w:rsid w:val="0076136B"/>
    <w:rsid w:val="00763B2E"/>
    <w:rsid w:val="00764976"/>
    <w:rsid w:val="00765140"/>
    <w:rsid w:val="00767661"/>
    <w:rsid w:val="00770914"/>
    <w:rsid w:val="00773AB2"/>
    <w:rsid w:val="00773E48"/>
    <w:rsid w:val="00774840"/>
    <w:rsid w:val="0077529A"/>
    <w:rsid w:val="0077599B"/>
    <w:rsid w:val="007777A2"/>
    <w:rsid w:val="0078309F"/>
    <w:rsid w:val="007863B7"/>
    <w:rsid w:val="00786E3F"/>
    <w:rsid w:val="0079384C"/>
    <w:rsid w:val="007A0183"/>
    <w:rsid w:val="007A54C8"/>
    <w:rsid w:val="007B0BF6"/>
    <w:rsid w:val="007B2814"/>
    <w:rsid w:val="007B7E09"/>
    <w:rsid w:val="007C0E0C"/>
    <w:rsid w:val="007C12EB"/>
    <w:rsid w:val="007C2165"/>
    <w:rsid w:val="007D3303"/>
    <w:rsid w:val="007D331F"/>
    <w:rsid w:val="007D3BA6"/>
    <w:rsid w:val="007D617B"/>
    <w:rsid w:val="007D6B24"/>
    <w:rsid w:val="007D6EF4"/>
    <w:rsid w:val="007D787F"/>
    <w:rsid w:val="007E5F81"/>
    <w:rsid w:val="007E653D"/>
    <w:rsid w:val="007F1C16"/>
    <w:rsid w:val="007F21F1"/>
    <w:rsid w:val="007F310B"/>
    <w:rsid w:val="007F4184"/>
    <w:rsid w:val="007F7625"/>
    <w:rsid w:val="00801E74"/>
    <w:rsid w:val="00811566"/>
    <w:rsid w:val="008118E0"/>
    <w:rsid w:val="00816F79"/>
    <w:rsid w:val="00827DDA"/>
    <w:rsid w:val="008405B6"/>
    <w:rsid w:val="008452B9"/>
    <w:rsid w:val="00853034"/>
    <w:rsid w:val="008545E6"/>
    <w:rsid w:val="00855F04"/>
    <w:rsid w:val="008575E1"/>
    <w:rsid w:val="008601FB"/>
    <w:rsid w:val="00861881"/>
    <w:rsid w:val="0086591B"/>
    <w:rsid w:val="00866655"/>
    <w:rsid w:val="00871E17"/>
    <w:rsid w:val="00875816"/>
    <w:rsid w:val="00877D70"/>
    <w:rsid w:val="0088311D"/>
    <w:rsid w:val="00884A11"/>
    <w:rsid w:val="00887270"/>
    <w:rsid w:val="008874C6"/>
    <w:rsid w:val="0089046E"/>
    <w:rsid w:val="00891D12"/>
    <w:rsid w:val="00894933"/>
    <w:rsid w:val="00897F4D"/>
    <w:rsid w:val="008A0343"/>
    <w:rsid w:val="008A62C7"/>
    <w:rsid w:val="008B0BE5"/>
    <w:rsid w:val="008B3384"/>
    <w:rsid w:val="008B7D3D"/>
    <w:rsid w:val="008C09CC"/>
    <w:rsid w:val="008C1215"/>
    <w:rsid w:val="008C2198"/>
    <w:rsid w:val="008D298A"/>
    <w:rsid w:val="008D50DD"/>
    <w:rsid w:val="008D6560"/>
    <w:rsid w:val="008D762E"/>
    <w:rsid w:val="008E145D"/>
    <w:rsid w:val="008E386E"/>
    <w:rsid w:val="008E469D"/>
    <w:rsid w:val="008E692A"/>
    <w:rsid w:val="008F4CE1"/>
    <w:rsid w:val="008F640F"/>
    <w:rsid w:val="008F7D75"/>
    <w:rsid w:val="00902432"/>
    <w:rsid w:val="00903193"/>
    <w:rsid w:val="00910793"/>
    <w:rsid w:val="00921487"/>
    <w:rsid w:val="00922DD0"/>
    <w:rsid w:val="00923BAC"/>
    <w:rsid w:val="0092759D"/>
    <w:rsid w:val="00933328"/>
    <w:rsid w:val="009372A6"/>
    <w:rsid w:val="00937979"/>
    <w:rsid w:val="00946C34"/>
    <w:rsid w:val="009472A0"/>
    <w:rsid w:val="009512E1"/>
    <w:rsid w:val="00954150"/>
    <w:rsid w:val="0096194A"/>
    <w:rsid w:val="00965BFE"/>
    <w:rsid w:val="00965F33"/>
    <w:rsid w:val="00967DAA"/>
    <w:rsid w:val="00967E2C"/>
    <w:rsid w:val="009746EF"/>
    <w:rsid w:val="009751C0"/>
    <w:rsid w:val="0097542C"/>
    <w:rsid w:val="009755F6"/>
    <w:rsid w:val="00975E7B"/>
    <w:rsid w:val="00985F4B"/>
    <w:rsid w:val="009926FE"/>
    <w:rsid w:val="00997912"/>
    <w:rsid w:val="009A3A5D"/>
    <w:rsid w:val="009A46C6"/>
    <w:rsid w:val="009A4BC8"/>
    <w:rsid w:val="009A72CB"/>
    <w:rsid w:val="009B13F8"/>
    <w:rsid w:val="009B1E6F"/>
    <w:rsid w:val="009B4843"/>
    <w:rsid w:val="009B7D1E"/>
    <w:rsid w:val="009C0B2D"/>
    <w:rsid w:val="009C1E53"/>
    <w:rsid w:val="009C32DC"/>
    <w:rsid w:val="009C41FE"/>
    <w:rsid w:val="009C4737"/>
    <w:rsid w:val="009C5282"/>
    <w:rsid w:val="009C5431"/>
    <w:rsid w:val="009C5C47"/>
    <w:rsid w:val="009C6084"/>
    <w:rsid w:val="009D07D0"/>
    <w:rsid w:val="009D3EED"/>
    <w:rsid w:val="009D4232"/>
    <w:rsid w:val="009E6520"/>
    <w:rsid w:val="009E6D3B"/>
    <w:rsid w:val="009E6D7E"/>
    <w:rsid w:val="009F1937"/>
    <w:rsid w:val="009F1A96"/>
    <w:rsid w:val="009F465A"/>
    <w:rsid w:val="009F5134"/>
    <w:rsid w:val="009F5AE2"/>
    <w:rsid w:val="009F5E52"/>
    <w:rsid w:val="009F7BCE"/>
    <w:rsid w:val="00A01CEA"/>
    <w:rsid w:val="00A02A86"/>
    <w:rsid w:val="00A033AD"/>
    <w:rsid w:val="00A043B8"/>
    <w:rsid w:val="00A04459"/>
    <w:rsid w:val="00A055F1"/>
    <w:rsid w:val="00A06DC4"/>
    <w:rsid w:val="00A113D0"/>
    <w:rsid w:val="00A1566B"/>
    <w:rsid w:val="00A1764B"/>
    <w:rsid w:val="00A21170"/>
    <w:rsid w:val="00A228ED"/>
    <w:rsid w:val="00A24695"/>
    <w:rsid w:val="00A263F2"/>
    <w:rsid w:val="00A308C7"/>
    <w:rsid w:val="00A32E35"/>
    <w:rsid w:val="00A42DB4"/>
    <w:rsid w:val="00A43A59"/>
    <w:rsid w:val="00A43CD2"/>
    <w:rsid w:val="00A472C1"/>
    <w:rsid w:val="00A5017F"/>
    <w:rsid w:val="00A5148E"/>
    <w:rsid w:val="00A6048E"/>
    <w:rsid w:val="00A60859"/>
    <w:rsid w:val="00A61B08"/>
    <w:rsid w:val="00A65393"/>
    <w:rsid w:val="00A65A70"/>
    <w:rsid w:val="00A66074"/>
    <w:rsid w:val="00A66216"/>
    <w:rsid w:val="00A70805"/>
    <w:rsid w:val="00A8578C"/>
    <w:rsid w:val="00A94CC6"/>
    <w:rsid w:val="00AA0110"/>
    <w:rsid w:val="00AA31A8"/>
    <w:rsid w:val="00AA3B95"/>
    <w:rsid w:val="00AA3CAF"/>
    <w:rsid w:val="00AA6D0E"/>
    <w:rsid w:val="00AB4E36"/>
    <w:rsid w:val="00AB6217"/>
    <w:rsid w:val="00AB7123"/>
    <w:rsid w:val="00AC2EAC"/>
    <w:rsid w:val="00AC33DF"/>
    <w:rsid w:val="00AC4AC8"/>
    <w:rsid w:val="00AC7262"/>
    <w:rsid w:val="00AE01EE"/>
    <w:rsid w:val="00AE3B64"/>
    <w:rsid w:val="00AF16E5"/>
    <w:rsid w:val="00AF19CC"/>
    <w:rsid w:val="00AF43E6"/>
    <w:rsid w:val="00AF4C14"/>
    <w:rsid w:val="00AF55E5"/>
    <w:rsid w:val="00AF5F9C"/>
    <w:rsid w:val="00AF7326"/>
    <w:rsid w:val="00AF7BCB"/>
    <w:rsid w:val="00B02BCE"/>
    <w:rsid w:val="00B033CF"/>
    <w:rsid w:val="00B03FE2"/>
    <w:rsid w:val="00B04FD5"/>
    <w:rsid w:val="00B10F9D"/>
    <w:rsid w:val="00B12683"/>
    <w:rsid w:val="00B14267"/>
    <w:rsid w:val="00B145E1"/>
    <w:rsid w:val="00B1498B"/>
    <w:rsid w:val="00B150B2"/>
    <w:rsid w:val="00B24DE2"/>
    <w:rsid w:val="00B306DC"/>
    <w:rsid w:val="00B32127"/>
    <w:rsid w:val="00B35021"/>
    <w:rsid w:val="00B3591A"/>
    <w:rsid w:val="00B46AC8"/>
    <w:rsid w:val="00B51217"/>
    <w:rsid w:val="00B521EB"/>
    <w:rsid w:val="00B53F70"/>
    <w:rsid w:val="00B5480C"/>
    <w:rsid w:val="00B62585"/>
    <w:rsid w:val="00B66553"/>
    <w:rsid w:val="00B82C86"/>
    <w:rsid w:val="00B87E17"/>
    <w:rsid w:val="00B909A6"/>
    <w:rsid w:val="00B91531"/>
    <w:rsid w:val="00B925EE"/>
    <w:rsid w:val="00BA3812"/>
    <w:rsid w:val="00BA583A"/>
    <w:rsid w:val="00BA7918"/>
    <w:rsid w:val="00BB4B86"/>
    <w:rsid w:val="00BB530F"/>
    <w:rsid w:val="00BB588C"/>
    <w:rsid w:val="00BB61C6"/>
    <w:rsid w:val="00BC4CE3"/>
    <w:rsid w:val="00BD1A36"/>
    <w:rsid w:val="00BE031D"/>
    <w:rsid w:val="00BE4040"/>
    <w:rsid w:val="00BE5F0F"/>
    <w:rsid w:val="00BE6F3D"/>
    <w:rsid w:val="00BE7209"/>
    <w:rsid w:val="00BE7542"/>
    <w:rsid w:val="00BF12CF"/>
    <w:rsid w:val="00BF5F49"/>
    <w:rsid w:val="00C03B14"/>
    <w:rsid w:val="00C0624E"/>
    <w:rsid w:val="00C11DAD"/>
    <w:rsid w:val="00C15C35"/>
    <w:rsid w:val="00C16033"/>
    <w:rsid w:val="00C168E5"/>
    <w:rsid w:val="00C16CAB"/>
    <w:rsid w:val="00C218CA"/>
    <w:rsid w:val="00C23354"/>
    <w:rsid w:val="00C23E90"/>
    <w:rsid w:val="00C27E44"/>
    <w:rsid w:val="00C334E6"/>
    <w:rsid w:val="00C3734F"/>
    <w:rsid w:val="00C420B9"/>
    <w:rsid w:val="00C4603C"/>
    <w:rsid w:val="00C5399C"/>
    <w:rsid w:val="00C622C3"/>
    <w:rsid w:val="00C63A30"/>
    <w:rsid w:val="00C727EF"/>
    <w:rsid w:val="00C73E73"/>
    <w:rsid w:val="00C748C8"/>
    <w:rsid w:val="00C816A2"/>
    <w:rsid w:val="00C834E6"/>
    <w:rsid w:val="00C87A0A"/>
    <w:rsid w:val="00C91226"/>
    <w:rsid w:val="00CA27EE"/>
    <w:rsid w:val="00CB0C1F"/>
    <w:rsid w:val="00CB1AD3"/>
    <w:rsid w:val="00CB371D"/>
    <w:rsid w:val="00CB40DF"/>
    <w:rsid w:val="00CB4845"/>
    <w:rsid w:val="00CC036A"/>
    <w:rsid w:val="00CC417F"/>
    <w:rsid w:val="00CC43F0"/>
    <w:rsid w:val="00CC4DC6"/>
    <w:rsid w:val="00CD0D36"/>
    <w:rsid w:val="00CD4488"/>
    <w:rsid w:val="00CD796C"/>
    <w:rsid w:val="00CE261B"/>
    <w:rsid w:val="00CF189F"/>
    <w:rsid w:val="00CF3CE8"/>
    <w:rsid w:val="00CF5FD5"/>
    <w:rsid w:val="00D05D20"/>
    <w:rsid w:val="00D06931"/>
    <w:rsid w:val="00D122AF"/>
    <w:rsid w:val="00D2058F"/>
    <w:rsid w:val="00D2060E"/>
    <w:rsid w:val="00D261E9"/>
    <w:rsid w:val="00D265D1"/>
    <w:rsid w:val="00D312F7"/>
    <w:rsid w:val="00D314ED"/>
    <w:rsid w:val="00D33B30"/>
    <w:rsid w:val="00D35924"/>
    <w:rsid w:val="00D35EDB"/>
    <w:rsid w:val="00D3741E"/>
    <w:rsid w:val="00D406BA"/>
    <w:rsid w:val="00D41CE9"/>
    <w:rsid w:val="00D42B2B"/>
    <w:rsid w:val="00D456EE"/>
    <w:rsid w:val="00D51409"/>
    <w:rsid w:val="00D514F7"/>
    <w:rsid w:val="00D5636E"/>
    <w:rsid w:val="00D65BFB"/>
    <w:rsid w:val="00D66DD1"/>
    <w:rsid w:val="00D72324"/>
    <w:rsid w:val="00D72500"/>
    <w:rsid w:val="00D7464D"/>
    <w:rsid w:val="00D74C00"/>
    <w:rsid w:val="00D81E64"/>
    <w:rsid w:val="00D91A14"/>
    <w:rsid w:val="00D9292E"/>
    <w:rsid w:val="00D93FE5"/>
    <w:rsid w:val="00D97D70"/>
    <w:rsid w:val="00DA2E9F"/>
    <w:rsid w:val="00DA5023"/>
    <w:rsid w:val="00DA60ED"/>
    <w:rsid w:val="00DB0D9A"/>
    <w:rsid w:val="00DB243F"/>
    <w:rsid w:val="00DB44E0"/>
    <w:rsid w:val="00DB5C78"/>
    <w:rsid w:val="00DC06DC"/>
    <w:rsid w:val="00DC3268"/>
    <w:rsid w:val="00DC44D8"/>
    <w:rsid w:val="00DC7573"/>
    <w:rsid w:val="00DD1D20"/>
    <w:rsid w:val="00DD3B27"/>
    <w:rsid w:val="00DD5547"/>
    <w:rsid w:val="00DE2B25"/>
    <w:rsid w:val="00DE30AE"/>
    <w:rsid w:val="00DE4E6B"/>
    <w:rsid w:val="00DE5B46"/>
    <w:rsid w:val="00DE6C6C"/>
    <w:rsid w:val="00DF38D5"/>
    <w:rsid w:val="00DF6DD0"/>
    <w:rsid w:val="00DF79C1"/>
    <w:rsid w:val="00E001EC"/>
    <w:rsid w:val="00E00EA2"/>
    <w:rsid w:val="00E01A32"/>
    <w:rsid w:val="00E024A6"/>
    <w:rsid w:val="00E07E27"/>
    <w:rsid w:val="00E1304F"/>
    <w:rsid w:val="00E13BA4"/>
    <w:rsid w:val="00E13E2F"/>
    <w:rsid w:val="00E173B8"/>
    <w:rsid w:val="00E2173D"/>
    <w:rsid w:val="00E22768"/>
    <w:rsid w:val="00E31169"/>
    <w:rsid w:val="00E3424D"/>
    <w:rsid w:val="00E44D7B"/>
    <w:rsid w:val="00E52E8F"/>
    <w:rsid w:val="00E552F4"/>
    <w:rsid w:val="00E57812"/>
    <w:rsid w:val="00E57A06"/>
    <w:rsid w:val="00E60207"/>
    <w:rsid w:val="00E6512E"/>
    <w:rsid w:val="00E65410"/>
    <w:rsid w:val="00E71FF2"/>
    <w:rsid w:val="00E7418A"/>
    <w:rsid w:val="00E75CA3"/>
    <w:rsid w:val="00E802F7"/>
    <w:rsid w:val="00E805FF"/>
    <w:rsid w:val="00E82D2F"/>
    <w:rsid w:val="00E83491"/>
    <w:rsid w:val="00E845E8"/>
    <w:rsid w:val="00E86C68"/>
    <w:rsid w:val="00E90705"/>
    <w:rsid w:val="00E90AB3"/>
    <w:rsid w:val="00E90B73"/>
    <w:rsid w:val="00E93AF9"/>
    <w:rsid w:val="00E95A29"/>
    <w:rsid w:val="00EA054D"/>
    <w:rsid w:val="00EA0628"/>
    <w:rsid w:val="00EA3C31"/>
    <w:rsid w:val="00EB4826"/>
    <w:rsid w:val="00EC0190"/>
    <w:rsid w:val="00EC02F2"/>
    <w:rsid w:val="00EC19AD"/>
    <w:rsid w:val="00EC7834"/>
    <w:rsid w:val="00ED2755"/>
    <w:rsid w:val="00ED5899"/>
    <w:rsid w:val="00ED71DE"/>
    <w:rsid w:val="00EE0FB6"/>
    <w:rsid w:val="00EE360F"/>
    <w:rsid w:val="00EE4BC6"/>
    <w:rsid w:val="00EE6DEF"/>
    <w:rsid w:val="00EF10E0"/>
    <w:rsid w:val="00EF1B18"/>
    <w:rsid w:val="00EF2A6C"/>
    <w:rsid w:val="00EF3E9E"/>
    <w:rsid w:val="00EF6834"/>
    <w:rsid w:val="00EF68BE"/>
    <w:rsid w:val="00EF6EBA"/>
    <w:rsid w:val="00EF79F3"/>
    <w:rsid w:val="00F031A0"/>
    <w:rsid w:val="00F04B89"/>
    <w:rsid w:val="00F119A3"/>
    <w:rsid w:val="00F12F40"/>
    <w:rsid w:val="00F16351"/>
    <w:rsid w:val="00F205F8"/>
    <w:rsid w:val="00F20C8A"/>
    <w:rsid w:val="00F2646D"/>
    <w:rsid w:val="00F2741F"/>
    <w:rsid w:val="00F30301"/>
    <w:rsid w:val="00F31F2F"/>
    <w:rsid w:val="00F3461C"/>
    <w:rsid w:val="00F34E81"/>
    <w:rsid w:val="00F52CE9"/>
    <w:rsid w:val="00F531B2"/>
    <w:rsid w:val="00F53E48"/>
    <w:rsid w:val="00F545F0"/>
    <w:rsid w:val="00F5677F"/>
    <w:rsid w:val="00F604EF"/>
    <w:rsid w:val="00F6058C"/>
    <w:rsid w:val="00F61634"/>
    <w:rsid w:val="00F63DCC"/>
    <w:rsid w:val="00F734E9"/>
    <w:rsid w:val="00F735A2"/>
    <w:rsid w:val="00F77E3F"/>
    <w:rsid w:val="00F87EFF"/>
    <w:rsid w:val="00F94FFB"/>
    <w:rsid w:val="00F96411"/>
    <w:rsid w:val="00F96BDB"/>
    <w:rsid w:val="00F97832"/>
    <w:rsid w:val="00FA7D11"/>
    <w:rsid w:val="00FB3252"/>
    <w:rsid w:val="00FB7267"/>
    <w:rsid w:val="00FB74C3"/>
    <w:rsid w:val="00FB7812"/>
    <w:rsid w:val="00FC3B57"/>
    <w:rsid w:val="00FC4E2B"/>
    <w:rsid w:val="00FC5046"/>
    <w:rsid w:val="00FC55A9"/>
    <w:rsid w:val="00FC5664"/>
    <w:rsid w:val="00FD2923"/>
    <w:rsid w:val="00FD3743"/>
    <w:rsid w:val="00FD3D35"/>
    <w:rsid w:val="00FD4F9C"/>
    <w:rsid w:val="00FD69F6"/>
    <w:rsid w:val="00FD7077"/>
    <w:rsid w:val="00FE4859"/>
    <w:rsid w:val="00FE6B0E"/>
    <w:rsid w:val="00FF0B99"/>
    <w:rsid w:val="00FF79B2"/>
    <w:rsid w:val="1DF4540B"/>
    <w:rsid w:val="49CB2F9F"/>
    <w:rsid w:val="5BBFB3B0"/>
    <w:rsid w:val="6F1F5EF5"/>
    <w:rsid w:val="6F5B9353"/>
    <w:rsid w:val="733479A7"/>
    <w:rsid w:val="73772259"/>
    <w:rsid w:val="74210F87"/>
    <w:rsid w:val="7A736669"/>
    <w:rsid w:val="7A775CFB"/>
    <w:rsid w:val="7EDC8B6C"/>
    <w:rsid w:val="DB3FDC12"/>
    <w:rsid w:val="DBB7D881"/>
    <w:rsid w:val="E9DD87C5"/>
    <w:rsid w:val="FB6F0505"/>
    <w:rsid w:val="FBEAB271"/>
    <w:rsid w:val="FEF79A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5"/>
    <w:qFormat/>
    <w:uiPriority w:val="99"/>
    <w:rPr>
      <w:rFonts w:ascii="宋体" w:hAnsi="Courier New"/>
      <w:szCs w:val="21"/>
    </w:rPr>
  </w:style>
  <w:style w:type="paragraph" w:styleId="3">
    <w:name w:val="Date"/>
    <w:basedOn w:val="1"/>
    <w:next w:val="1"/>
    <w:link w:val="10"/>
    <w:qFormat/>
    <w:uiPriority w:val="99"/>
    <w:pPr>
      <w:ind w:left="100" w:leftChars="2500"/>
    </w:pPr>
    <w:rPr>
      <w:sz w:val="24"/>
    </w:rPr>
  </w:style>
  <w:style w:type="paragraph" w:styleId="4">
    <w:name w:val="Balloon Text"/>
    <w:basedOn w:val="1"/>
    <w:link w:val="11"/>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99"/>
    <w:rPr>
      <w:rFonts w:cs="Times New Roman"/>
    </w:rPr>
  </w:style>
  <w:style w:type="character" w:customStyle="1" w:styleId="10">
    <w:name w:val="日期 Char"/>
    <w:link w:val="3"/>
    <w:qFormat/>
    <w:locked/>
    <w:uiPriority w:val="99"/>
    <w:rPr>
      <w:rFonts w:cs="Times New Roman"/>
      <w:kern w:val="2"/>
      <w:sz w:val="24"/>
      <w:szCs w:val="24"/>
    </w:rPr>
  </w:style>
  <w:style w:type="character" w:customStyle="1" w:styleId="11">
    <w:name w:val="批注框文本 Char"/>
    <w:link w:val="4"/>
    <w:qFormat/>
    <w:locked/>
    <w:uiPriority w:val="99"/>
    <w:rPr>
      <w:rFonts w:cs="Times New Roman"/>
      <w:kern w:val="2"/>
      <w:sz w:val="18"/>
      <w:szCs w:val="18"/>
    </w:rPr>
  </w:style>
  <w:style w:type="character" w:customStyle="1" w:styleId="12">
    <w:name w:val="页脚 Char"/>
    <w:link w:val="5"/>
    <w:qFormat/>
    <w:locked/>
    <w:uiPriority w:val="99"/>
    <w:rPr>
      <w:rFonts w:cs="Times New Roman"/>
      <w:kern w:val="2"/>
      <w:sz w:val="18"/>
      <w:szCs w:val="18"/>
    </w:rPr>
  </w:style>
  <w:style w:type="character" w:customStyle="1" w:styleId="13">
    <w:name w:val="页眉 Char"/>
    <w:link w:val="6"/>
    <w:qFormat/>
    <w:locked/>
    <w:uiPriority w:val="99"/>
    <w:rPr>
      <w:rFonts w:cs="Times New Roman"/>
      <w:kern w:val="2"/>
      <w:sz w:val="18"/>
      <w:szCs w:val="18"/>
    </w:rPr>
  </w:style>
  <w:style w:type="paragraph" w:styleId="14">
    <w:name w:val="List Paragraph"/>
    <w:basedOn w:val="1"/>
    <w:qFormat/>
    <w:uiPriority w:val="99"/>
    <w:pPr>
      <w:ind w:firstLine="420" w:firstLineChars="200"/>
    </w:pPr>
  </w:style>
  <w:style w:type="character" w:customStyle="1" w:styleId="15">
    <w:name w:val="纯文本 Char"/>
    <w:link w:val="2"/>
    <w:qFormat/>
    <w:locked/>
    <w:uiPriority w:val="99"/>
    <w:rPr>
      <w:rFonts w:ascii="宋体" w:hAnsi="Courier New" w:eastAsia="宋体" w:cs="Courier New"/>
      <w:kern w:val="2"/>
      <w:sz w:val="21"/>
      <w:szCs w:val="21"/>
    </w:rPr>
  </w:style>
  <w:style w:type="character" w:customStyle="1" w:styleId="16">
    <w:name w:val="fontstyle01"/>
    <w:qFormat/>
    <w:uiPriority w:val="99"/>
    <w:rPr>
      <w:rFonts w:ascii="仿宋_GB2312" w:eastAsia="仿宋_GB2312" w:cs="Times New Roman"/>
      <w:color w:val="000000"/>
      <w:sz w:val="32"/>
      <w:szCs w:val="32"/>
    </w:rPr>
  </w:style>
  <w:style w:type="character" w:customStyle="1" w:styleId="17">
    <w:name w:val="fontstyle21"/>
    <w:qFormat/>
    <w:uiPriority w:val="99"/>
    <w:rPr>
      <w:rFonts w:ascii="Times-Roman" w:hAnsi="Times-Roman" w:cs="Times New Roman"/>
      <w:color w:val="000000"/>
      <w:sz w:val="32"/>
      <w:szCs w:val="32"/>
    </w:rPr>
  </w:style>
  <w:style w:type="character" w:customStyle="1" w:styleId="18">
    <w:name w:val="fontstyle31"/>
    <w:qFormat/>
    <w:uiPriority w:val="99"/>
    <w:rPr>
      <w:rFonts w:ascii="宋体" w:hAnsi="宋体" w:eastAsia="宋体" w:cs="Times New Roman"/>
      <w:color w:val="00000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14</Pages>
  <Words>1131</Words>
  <Characters>6447</Characters>
  <Lines>53</Lines>
  <Paragraphs>15</Paragraphs>
  <TotalTime>548</TotalTime>
  <ScaleCrop>false</ScaleCrop>
  <LinksUpToDate>false</LinksUpToDate>
  <CharactersWithSpaces>7563</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2022-11-09T00:27:00Z</dcterms:created>
  <dc:creator>Administrator</dc:creator>
  <cp:lastModifiedBy>user</cp:lastModifiedBy>
  <cp:lastPrinted>2023-01-19T15:08:00Z</cp:lastPrinted>
  <dcterms:modified xsi:type="dcterms:W3CDTF">2024-03-25T08:59:57Z</dcterms:modified>
  <cp:revision>813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81928B5783F39AE08DCC00669021A86A</vt:lpwstr>
  </property>
</Properties>
</file>