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olor w:val="000000"/>
          <w:sz w:val="72"/>
          <w:szCs w:val="72"/>
        </w:rPr>
      </w:pPr>
      <w:bookmarkStart w:id="0" w:name="_Toc15306267"/>
    </w:p>
    <w:p>
      <w:pPr>
        <w:spacing w:line="600" w:lineRule="exact"/>
        <w:jc w:val="center"/>
        <w:rPr>
          <w:rFonts w:eastAsia="方正小标宋简体"/>
          <w:color w:val="000000"/>
          <w:sz w:val="72"/>
          <w:szCs w:val="72"/>
        </w:rPr>
      </w:pPr>
    </w:p>
    <w:p>
      <w:pPr>
        <w:spacing w:line="600" w:lineRule="exact"/>
        <w:jc w:val="center"/>
        <w:rPr>
          <w:rFonts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44"/>
          <w:szCs w:val="44"/>
        </w:rPr>
      </w:pPr>
      <w:bookmarkStart w:id="1" w:name="_Toc7282"/>
      <w:bookmarkStart w:id="2" w:name="_Toc2090"/>
      <w:bookmarkStart w:id="3" w:name="_Toc15377193"/>
      <w:bookmarkStart w:id="4" w:name="_Toc15378441"/>
      <w:bookmarkStart w:id="5" w:name="_Toc19846"/>
      <w:bookmarkStart w:id="6" w:name="_Toc14892"/>
      <w:bookmarkStart w:id="7" w:name="_Toc9075"/>
      <w:bookmarkStart w:id="8" w:name="_Toc2825"/>
      <w:bookmarkStart w:id="9" w:name="_Toc15396475"/>
      <w:bookmarkStart w:id="10" w:name="_Toc84961240"/>
      <w:bookmarkStart w:id="11" w:name="_Toc113474474"/>
      <w:bookmarkStart w:id="12" w:name="_Toc148972659"/>
      <w:bookmarkStart w:id="13" w:name="_Toc15377425"/>
      <w:bookmarkStart w:id="14" w:name="_Toc15396597"/>
      <w:bookmarkStart w:id="124" w:name="_GoBack"/>
      <w:bookmarkEnd w:id="124"/>
      <w:r>
        <w:rPr>
          <w:rFonts w:ascii="方正小标宋简体" w:hAnsi="宋体" w:eastAsia="方正小标宋简体"/>
          <w:color w:val="000000"/>
          <w:sz w:val="44"/>
          <w:szCs w:val="44"/>
        </w:rPr>
        <w:t>202</w:t>
      </w:r>
      <w:r>
        <w:rPr>
          <w:rFonts w:hint="eastAsia" w:ascii="方正小标宋简体" w:hAnsi="宋体" w:eastAsia="方正小标宋简体"/>
          <w:color w:val="000000"/>
          <w:sz w:val="44"/>
          <w:szCs w:val="44"/>
        </w:rPr>
        <w:t>3</w:t>
      </w:r>
      <w:r>
        <w:rPr>
          <w:rFonts w:ascii="方正小标宋简体" w:hAnsi="宋体" w:eastAsia="方正小标宋简体"/>
          <w:color w:val="000000"/>
          <w:sz w:val="44"/>
          <w:szCs w:val="44"/>
        </w:rPr>
        <w:t>年度</w:t>
      </w:r>
      <w:bookmarkEnd w:id="1"/>
      <w:bookmarkEnd w:id="2"/>
      <w:bookmarkEnd w:id="3"/>
      <w:bookmarkEnd w:id="4"/>
      <w:bookmarkEnd w:id="5"/>
      <w:bookmarkEnd w:id="6"/>
      <w:bookmarkEnd w:id="7"/>
      <w:bookmarkEnd w:id="8"/>
      <w:bookmarkEnd w:id="9"/>
      <w:bookmarkEnd w:id="10"/>
      <w:bookmarkEnd w:id="11"/>
      <w:bookmarkEnd w:id="12"/>
      <w:bookmarkEnd w:id="13"/>
      <w:bookmarkEnd w:id="14"/>
    </w:p>
    <w:bookmarkEnd w:id="0"/>
    <w:p>
      <w:pPr>
        <w:adjustRightInd w:val="0"/>
        <w:snapToGrid w:val="0"/>
        <w:spacing w:line="360" w:lineRule="auto"/>
        <w:jc w:val="center"/>
        <w:outlineLvl w:val="0"/>
        <w:rPr>
          <w:rFonts w:ascii="方正小标宋简体" w:hAnsi="宋体" w:eastAsia="方正小标宋简体"/>
          <w:color w:val="000000"/>
          <w:sz w:val="44"/>
          <w:szCs w:val="44"/>
        </w:rPr>
      </w:pPr>
      <w:bookmarkStart w:id="15" w:name="_Toc148972660"/>
      <w:bookmarkStart w:id="16" w:name="_Toc1281"/>
      <w:bookmarkStart w:id="17" w:name="_Toc84961241"/>
      <w:bookmarkStart w:id="18" w:name="_Toc15378442"/>
      <w:bookmarkStart w:id="19" w:name="_Toc17830"/>
      <w:bookmarkStart w:id="20" w:name="_Toc7355"/>
      <w:bookmarkStart w:id="21" w:name="_Toc15396598"/>
      <w:bookmarkStart w:id="22" w:name="_Toc15396476"/>
      <w:bookmarkStart w:id="23" w:name="_Toc15377426"/>
      <w:bookmarkStart w:id="24" w:name="_Toc15306268"/>
      <w:bookmarkStart w:id="25" w:name="_Toc15377194"/>
      <w:bookmarkStart w:id="26" w:name="_Toc12305"/>
      <w:bookmarkStart w:id="27" w:name="_Toc28274"/>
      <w:bookmarkStart w:id="28" w:name="_Toc113474475"/>
      <w:bookmarkStart w:id="29" w:name="_Toc307"/>
      <w:r>
        <w:rPr>
          <w:rFonts w:ascii="方正小标宋简体" w:hAnsi="宋体" w:eastAsia="方正小标宋简体"/>
          <w:color w:val="000000"/>
          <w:sz w:val="44"/>
          <w:szCs w:val="44"/>
        </w:rPr>
        <w:t>四川省攀枝花市</w:t>
      </w:r>
      <w:bookmarkEnd w:id="15"/>
      <w:r>
        <w:rPr>
          <w:rFonts w:hint="eastAsia" w:ascii="方正小标宋简体" w:hAnsi="宋体" w:eastAsia="方正小标宋简体"/>
          <w:color w:val="000000"/>
          <w:sz w:val="44"/>
          <w:szCs w:val="44"/>
        </w:rPr>
        <w:t>仁和区金江中小学</w:t>
      </w:r>
    </w:p>
    <w:bookmarkEnd w:id="16"/>
    <w:bookmarkEnd w:id="17"/>
    <w:bookmarkEnd w:id="18"/>
    <w:bookmarkEnd w:id="19"/>
    <w:bookmarkEnd w:id="20"/>
    <w:bookmarkEnd w:id="21"/>
    <w:bookmarkEnd w:id="22"/>
    <w:bookmarkEnd w:id="23"/>
    <w:bookmarkEnd w:id="24"/>
    <w:bookmarkEnd w:id="25"/>
    <w:bookmarkEnd w:id="26"/>
    <w:bookmarkEnd w:id="27"/>
    <w:bookmarkEnd w:id="28"/>
    <w:bookmarkEnd w:id="29"/>
    <w:p>
      <w:pPr>
        <w:adjustRightInd w:val="0"/>
        <w:snapToGrid w:val="0"/>
        <w:spacing w:line="360" w:lineRule="auto"/>
        <w:jc w:val="center"/>
        <w:outlineLvl w:val="0"/>
        <w:rPr>
          <w:rFonts w:eastAsia="方正小标宋简体"/>
          <w:color w:val="000000"/>
          <w:sz w:val="44"/>
          <w:szCs w:val="44"/>
        </w:rPr>
      </w:pPr>
      <w:bookmarkStart w:id="30" w:name="_Toc148972661"/>
      <w:r>
        <w:rPr>
          <w:rFonts w:hint="eastAsia" w:ascii="方正小标宋简体" w:hAnsi="宋体" w:eastAsia="方正小标宋简体"/>
          <w:color w:val="000000"/>
          <w:sz w:val="44"/>
          <w:szCs w:val="44"/>
        </w:rPr>
        <w:t>单位决算</w:t>
      </w:r>
      <w:bookmarkEnd w:id="30"/>
    </w:p>
    <w:p>
      <w:pPr>
        <w:adjustRightInd w:val="0"/>
        <w:snapToGrid w:val="0"/>
        <w:spacing w:line="360" w:lineRule="auto"/>
        <w:jc w:val="center"/>
        <w:rPr>
          <w:rFonts w:eastAsia="方正小标宋简体"/>
          <w:color w:val="000000"/>
          <w:sz w:val="52"/>
          <w:szCs w:val="52"/>
        </w:rPr>
      </w:pPr>
    </w:p>
    <w:p>
      <w:pPr>
        <w:widowControl/>
        <w:jc w:val="center"/>
        <w:rPr>
          <w:rFonts w:eastAsia="黑体"/>
          <w:color w:val="000000"/>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titlePg/>
          <w:docGrid w:type="lines" w:linePitch="312" w:charSpace="0"/>
        </w:sectPr>
      </w:pPr>
    </w:p>
    <w:p>
      <w:pPr>
        <w:widowControl/>
        <w:jc w:val="center"/>
        <w:rPr>
          <w:rFonts w:ascii="黑体" w:hAnsi="黑体" w:eastAsia="黑体"/>
          <w:color w:val="000000"/>
          <w:sz w:val="48"/>
          <w:szCs w:val="48"/>
        </w:rPr>
      </w:pPr>
      <w:bookmarkStart w:id="31" w:name="_Toc13576"/>
      <w:bookmarkStart w:id="32" w:name="_Toc113474476"/>
      <w:bookmarkStart w:id="33" w:name="_Toc15396599"/>
      <w:bookmarkStart w:id="34" w:name="_Toc15377196"/>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3"/>
      </w:pPr>
      <w:r>
        <w:rPr>
          <w:rFonts w:hint="eastAsia"/>
        </w:rPr>
        <w:t>公开时间：</w:t>
      </w:r>
      <w:r>
        <w:t>202</w:t>
      </w:r>
      <w:r>
        <w:rPr>
          <w:rFonts w:hint="eastAsia"/>
        </w:rPr>
        <w:t>4年9月</w:t>
      </w:r>
      <w:r>
        <w:rPr>
          <w:rFonts w:hint="eastAsia"/>
          <w:lang w:val="en-US" w:eastAsia="zh-CN"/>
        </w:rPr>
        <w:t>20</w:t>
      </w:r>
      <w:r>
        <w:rPr>
          <w:rFonts w:hint="eastAsia"/>
        </w:rPr>
        <w:t xml:space="preserve"> 日</w:t>
      </w:r>
    </w:p>
    <w:p/>
    <w:sdt>
      <w:sdtPr>
        <w:rPr>
          <w:rFonts w:ascii="Times New Roman" w:hAnsi="Times New Roman" w:eastAsia="仿宋_GB2312" w:cs="Times New Roman"/>
          <w:color w:val="auto"/>
          <w:kern w:val="2"/>
          <w:sz w:val="21"/>
          <w:szCs w:val="24"/>
          <w:lang w:val="zh-CN"/>
        </w:rPr>
        <w:id w:val="-1996788104"/>
        <w:docPartObj>
          <w:docPartGallery w:val="Table of Contents"/>
          <w:docPartUnique/>
        </w:docPartObj>
      </w:sdtPr>
      <w:sdtEndPr>
        <w:rPr>
          <w:rFonts w:ascii="Times New Roman" w:hAnsi="Times New Roman" w:eastAsia="仿宋_GB2312" w:cs="Times New Roman"/>
          <w:b/>
          <w:bCs/>
          <w:color w:val="auto"/>
          <w:kern w:val="2"/>
          <w:sz w:val="21"/>
          <w:szCs w:val="24"/>
          <w:lang w:val="zh-CN"/>
        </w:rPr>
      </w:sdtEndPr>
      <w:sdtContent>
        <w:p>
          <w:pPr>
            <w:pStyle w:val="50"/>
            <w:rPr>
              <w:rFonts w:asciiTheme="minorHAnsi" w:hAnsiTheme="minorHAnsi" w:eastAsiaTheme="minorEastAsia" w:cstheme="minorBidi"/>
              <w:sz w:val="24"/>
              <w:szCs w:val="24"/>
            </w:rPr>
          </w:pPr>
          <w:r>
            <w:fldChar w:fldCharType="begin"/>
          </w:r>
          <w:r>
            <w:instrText xml:space="preserve"> TOC \o "1-3" \h \z \u </w:instrText>
          </w:r>
          <w:r>
            <w:fldChar w:fldCharType="separate"/>
          </w:r>
        </w:p>
        <w:p>
          <w:pPr>
            <w:pStyle w:val="13"/>
            <w:rPr>
              <w:rFonts w:asciiTheme="minorHAnsi" w:hAnsiTheme="minorHAnsi" w:eastAsiaTheme="minorEastAsia" w:cstheme="minorBidi"/>
              <w:sz w:val="24"/>
              <w:szCs w:val="24"/>
            </w:rPr>
          </w:pPr>
          <w:r>
            <w:fldChar w:fldCharType="begin"/>
          </w:r>
          <w:r>
            <w:instrText xml:space="preserve"> HYPERLINK \l "_Toc148972662" </w:instrText>
          </w:r>
          <w:r>
            <w:fldChar w:fldCharType="separate"/>
          </w:r>
          <w:r>
            <w:rPr>
              <w:rStyle w:val="21"/>
              <w:rFonts w:eastAsia="黑体"/>
              <w:sz w:val="24"/>
              <w:szCs w:val="24"/>
            </w:rPr>
            <w:t>第一部分单位概况</w:t>
          </w:r>
          <w:r>
            <w:rPr>
              <w:sz w:val="24"/>
              <w:szCs w:val="24"/>
            </w:rPr>
            <w:tab/>
          </w:r>
          <w:r>
            <w:rPr>
              <w:sz w:val="24"/>
              <w:szCs w:val="24"/>
            </w:rPr>
            <w:fldChar w:fldCharType="begin"/>
          </w:r>
          <w:r>
            <w:rPr>
              <w:sz w:val="24"/>
              <w:szCs w:val="24"/>
            </w:rPr>
            <w:instrText xml:space="preserve"> PAGEREF _Toc148972662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4"/>
            <w:rPr>
              <w:rFonts w:ascii="仿宋" w:hAnsi="仿宋" w:eastAsia="仿宋" w:cstheme="minorBidi"/>
              <w:sz w:val="24"/>
            </w:rPr>
          </w:pPr>
          <w:r>
            <w:fldChar w:fldCharType="begin"/>
          </w:r>
          <w:r>
            <w:instrText xml:space="preserve"> HYPERLINK \l "_Toc148972663" </w:instrText>
          </w:r>
          <w:r>
            <w:fldChar w:fldCharType="separate"/>
          </w:r>
          <w:r>
            <w:rPr>
              <w:rStyle w:val="21"/>
              <w:rFonts w:ascii="仿宋" w:hAnsi="仿宋" w:eastAsia="仿宋"/>
              <w:sz w:val="24"/>
            </w:rPr>
            <w:t>一、单位职责</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_Toc148972663 \h </w:instrText>
          </w:r>
          <w:r>
            <w:rPr>
              <w:rFonts w:ascii="仿宋" w:hAnsi="仿宋" w:eastAsia="仿宋"/>
              <w:sz w:val="24"/>
            </w:rPr>
            <w:fldChar w:fldCharType="separate"/>
          </w:r>
          <w:r>
            <w:rPr>
              <w:rFonts w:ascii="仿宋" w:hAnsi="仿宋" w:eastAsia="仿宋"/>
              <w:sz w:val="24"/>
            </w:rPr>
            <w:t>2</w:t>
          </w:r>
          <w:r>
            <w:rPr>
              <w:rFonts w:ascii="仿宋" w:hAnsi="仿宋" w:eastAsia="仿宋"/>
              <w:sz w:val="24"/>
            </w:rPr>
            <w:fldChar w:fldCharType="end"/>
          </w:r>
          <w:r>
            <w:rPr>
              <w:rFonts w:ascii="仿宋" w:hAnsi="仿宋" w:eastAsia="仿宋"/>
              <w:sz w:val="24"/>
            </w:rPr>
            <w:fldChar w:fldCharType="end"/>
          </w:r>
        </w:p>
        <w:p>
          <w:pPr>
            <w:pStyle w:val="14"/>
            <w:rPr>
              <w:rFonts w:ascii="仿宋" w:hAnsi="仿宋" w:eastAsia="仿宋" w:cstheme="minorBidi"/>
              <w:sz w:val="24"/>
            </w:rPr>
          </w:pPr>
          <w:r>
            <w:fldChar w:fldCharType="begin"/>
          </w:r>
          <w:r>
            <w:instrText xml:space="preserve"> HYPERLINK \l "_Toc148972666" </w:instrText>
          </w:r>
          <w:r>
            <w:fldChar w:fldCharType="separate"/>
          </w:r>
          <w:r>
            <w:rPr>
              <w:rStyle w:val="21"/>
              <w:rFonts w:ascii="仿宋" w:hAnsi="仿宋" w:eastAsia="仿宋"/>
              <w:sz w:val="24"/>
            </w:rPr>
            <w:t>二、机构设置</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_Toc148972666 \h </w:instrText>
          </w:r>
          <w:r>
            <w:rPr>
              <w:rFonts w:ascii="仿宋" w:hAnsi="仿宋" w:eastAsia="仿宋"/>
              <w:sz w:val="24"/>
            </w:rPr>
            <w:fldChar w:fldCharType="separate"/>
          </w:r>
          <w:r>
            <w:rPr>
              <w:rFonts w:ascii="仿宋" w:hAnsi="仿宋" w:eastAsia="仿宋"/>
              <w:sz w:val="24"/>
            </w:rPr>
            <w:t>2</w:t>
          </w:r>
          <w:r>
            <w:rPr>
              <w:rFonts w:ascii="仿宋" w:hAnsi="仿宋" w:eastAsia="仿宋"/>
              <w:sz w:val="24"/>
            </w:rPr>
            <w:fldChar w:fldCharType="end"/>
          </w:r>
          <w:r>
            <w:rPr>
              <w:rFonts w:ascii="仿宋" w:hAnsi="仿宋" w:eastAsia="仿宋"/>
              <w:sz w:val="24"/>
            </w:rPr>
            <w:fldChar w:fldCharType="end"/>
          </w:r>
        </w:p>
        <w:p>
          <w:pPr>
            <w:pStyle w:val="13"/>
            <w:rPr>
              <w:rFonts w:asciiTheme="minorHAnsi" w:hAnsiTheme="minorHAnsi" w:eastAsiaTheme="minorEastAsia" w:cstheme="minorBidi"/>
              <w:sz w:val="24"/>
              <w:szCs w:val="24"/>
            </w:rPr>
          </w:pPr>
          <w:r>
            <w:fldChar w:fldCharType="begin"/>
          </w:r>
          <w:r>
            <w:instrText xml:space="preserve"> HYPERLINK \l "_Toc148972667" </w:instrText>
          </w:r>
          <w:r>
            <w:fldChar w:fldCharType="separate"/>
          </w:r>
          <w:r>
            <w:rPr>
              <w:rStyle w:val="21"/>
              <w:rFonts w:eastAsia="黑体"/>
              <w:sz w:val="24"/>
              <w:szCs w:val="24"/>
            </w:rPr>
            <w:t>第二部分</w:t>
          </w:r>
          <w:r>
            <w:rPr>
              <w:rStyle w:val="21"/>
              <w:rFonts w:ascii="黑体" w:hAnsi="黑体" w:eastAsia="黑体"/>
              <w:sz w:val="24"/>
              <w:szCs w:val="24"/>
            </w:rPr>
            <w:t>202</w:t>
          </w:r>
          <w:r>
            <w:rPr>
              <w:rStyle w:val="21"/>
              <w:rFonts w:hint="eastAsia" w:ascii="黑体" w:hAnsi="黑体" w:eastAsia="黑体"/>
              <w:sz w:val="24"/>
              <w:szCs w:val="24"/>
            </w:rPr>
            <w:t>3</w:t>
          </w:r>
          <w:r>
            <w:rPr>
              <w:rStyle w:val="21"/>
              <w:rFonts w:ascii="黑体" w:hAnsi="黑体" w:eastAsia="黑体"/>
              <w:sz w:val="24"/>
              <w:szCs w:val="24"/>
            </w:rPr>
            <w:t>年度单位决算情况说明</w:t>
          </w:r>
          <w:r>
            <w:rPr>
              <w:sz w:val="24"/>
              <w:szCs w:val="24"/>
            </w:rPr>
            <w:tab/>
          </w:r>
          <w:r>
            <w:rPr>
              <w:sz w:val="24"/>
              <w:szCs w:val="24"/>
            </w:rPr>
            <w:fldChar w:fldCharType="begin"/>
          </w:r>
          <w:r>
            <w:rPr>
              <w:sz w:val="24"/>
              <w:szCs w:val="24"/>
            </w:rPr>
            <w:instrText xml:space="preserve"> PAGEREF _Toc148972667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4"/>
            <w:tabs>
              <w:tab w:val="left" w:pos="1260"/>
            </w:tabs>
            <w:rPr>
              <w:rStyle w:val="21"/>
              <w:rFonts w:ascii="仿宋" w:hAnsi="仿宋" w:eastAsia="仿宋" w:cs="仿宋"/>
              <w:sz w:val="24"/>
            </w:rPr>
          </w:pPr>
          <w:r>
            <w:fldChar w:fldCharType="begin"/>
          </w:r>
          <w:r>
            <w:instrText xml:space="preserve"> HYPERLINK \l "_Toc148972668" </w:instrText>
          </w:r>
          <w:r>
            <w:fldChar w:fldCharType="separate"/>
          </w:r>
          <w:r>
            <w:rPr>
              <w:rStyle w:val="21"/>
              <w:rFonts w:ascii="仿宋" w:hAnsi="仿宋" w:eastAsia="仿宋" w:cs="仿宋"/>
              <w:sz w:val="24"/>
            </w:rPr>
            <w:t>一、收入支出决算总体情况说明</w:t>
          </w:r>
          <w:r>
            <w:rPr>
              <w:rStyle w:val="21"/>
              <w:rFonts w:ascii="仿宋" w:hAnsi="仿宋" w:eastAsia="仿宋" w:cs="仿宋"/>
              <w:sz w:val="24"/>
            </w:rPr>
            <w:tab/>
          </w:r>
          <w:r>
            <w:rPr>
              <w:rStyle w:val="21"/>
              <w:rFonts w:ascii="仿宋" w:hAnsi="仿宋" w:eastAsia="仿宋" w:cs="仿宋"/>
              <w:sz w:val="24"/>
            </w:rPr>
            <w:fldChar w:fldCharType="begin"/>
          </w:r>
          <w:r>
            <w:rPr>
              <w:rStyle w:val="21"/>
              <w:rFonts w:ascii="仿宋" w:hAnsi="仿宋" w:eastAsia="仿宋" w:cs="仿宋"/>
              <w:sz w:val="24"/>
            </w:rPr>
            <w:instrText xml:space="preserve"> PAGEREF _Toc148972668 \h </w:instrText>
          </w:r>
          <w:r>
            <w:rPr>
              <w:rStyle w:val="21"/>
              <w:rFonts w:ascii="仿宋" w:hAnsi="仿宋" w:eastAsia="仿宋" w:cs="仿宋"/>
              <w:sz w:val="24"/>
            </w:rPr>
            <w:fldChar w:fldCharType="separate"/>
          </w:r>
          <w:r>
            <w:rPr>
              <w:rStyle w:val="21"/>
              <w:rFonts w:ascii="仿宋" w:hAnsi="仿宋" w:eastAsia="仿宋" w:cs="仿宋"/>
              <w:sz w:val="24"/>
            </w:rPr>
            <w:t>3</w:t>
          </w:r>
          <w:r>
            <w:rPr>
              <w:rStyle w:val="21"/>
              <w:rFonts w:ascii="仿宋" w:hAnsi="仿宋" w:eastAsia="仿宋" w:cs="仿宋"/>
              <w:sz w:val="24"/>
            </w:rPr>
            <w:fldChar w:fldCharType="end"/>
          </w:r>
          <w:r>
            <w:rPr>
              <w:rStyle w:val="21"/>
              <w:rFonts w:ascii="仿宋" w:hAnsi="仿宋" w:eastAsia="仿宋" w:cs="仿宋"/>
              <w:sz w:val="24"/>
            </w:rPr>
            <w:fldChar w:fldCharType="end"/>
          </w:r>
        </w:p>
        <w:p>
          <w:pPr>
            <w:pStyle w:val="14"/>
            <w:tabs>
              <w:tab w:val="left" w:pos="1260"/>
            </w:tabs>
            <w:rPr>
              <w:rStyle w:val="21"/>
              <w:rFonts w:ascii="仿宋" w:hAnsi="仿宋" w:eastAsia="仿宋" w:cs="仿宋"/>
              <w:sz w:val="24"/>
            </w:rPr>
          </w:pPr>
          <w:r>
            <w:fldChar w:fldCharType="begin"/>
          </w:r>
          <w:r>
            <w:instrText xml:space="preserve"> HYPERLINK \l "_Toc148972669" </w:instrText>
          </w:r>
          <w:r>
            <w:fldChar w:fldCharType="separate"/>
          </w:r>
          <w:r>
            <w:rPr>
              <w:rStyle w:val="21"/>
              <w:rFonts w:ascii="仿宋" w:hAnsi="仿宋" w:eastAsia="仿宋" w:cs="仿宋"/>
              <w:sz w:val="24"/>
            </w:rPr>
            <w:t>二、收入决算情况说明</w:t>
          </w:r>
          <w:r>
            <w:rPr>
              <w:rStyle w:val="21"/>
              <w:rFonts w:ascii="仿宋" w:hAnsi="仿宋" w:eastAsia="仿宋" w:cs="仿宋"/>
              <w:sz w:val="24"/>
            </w:rPr>
            <w:tab/>
          </w:r>
          <w:r>
            <w:rPr>
              <w:rStyle w:val="21"/>
              <w:rFonts w:ascii="仿宋" w:hAnsi="仿宋" w:eastAsia="仿宋" w:cs="仿宋"/>
              <w:sz w:val="24"/>
            </w:rPr>
            <w:fldChar w:fldCharType="begin"/>
          </w:r>
          <w:r>
            <w:rPr>
              <w:rStyle w:val="21"/>
              <w:rFonts w:ascii="仿宋" w:hAnsi="仿宋" w:eastAsia="仿宋" w:cs="仿宋"/>
              <w:sz w:val="24"/>
            </w:rPr>
            <w:instrText xml:space="preserve"> PAGEREF _Toc148972669 \h </w:instrText>
          </w:r>
          <w:r>
            <w:rPr>
              <w:rStyle w:val="21"/>
              <w:rFonts w:ascii="仿宋" w:hAnsi="仿宋" w:eastAsia="仿宋" w:cs="仿宋"/>
              <w:sz w:val="24"/>
            </w:rPr>
            <w:fldChar w:fldCharType="separate"/>
          </w:r>
          <w:r>
            <w:rPr>
              <w:rStyle w:val="21"/>
              <w:rFonts w:ascii="仿宋" w:hAnsi="仿宋" w:eastAsia="仿宋" w:cs="仿宋"/>
              <w:sz w:val="24"/>
            </w:rPr>
            <w:t>3</w:t>
          </w:r>
          <w:r>
            <w:rPr>
              <w:rStyle w:val="21"/>
              <w:rFonts w:ascii="仿宋" w:hAnsi="仿宋" w:eastAsia="仿宋" w:cs="仿宋"/>
              <w:sz w:val="24"/>
            </w:rPr>
            <w:fldChar w:fldCharType="end"/>
          </w:r>
          <w:r>
            <w:rPr>
              <w:rStyle w:val="21"/>
              <w:rFonts w:ascii="仿宋" w:hAnsi="仿宋" w:eastAsia="仿宋" w:cs="仿宋"/>
              <w:sz w:val="24"/>
            </w:rPr>
            <w:fldChar w:fldCharType="end"/>
          </w:r>
        </w:p>
        <w:p>
          <w:pPr>
            <w:pStyle w:val="14"/>
            <w:tabs>
              <w:tab w:val="left" w:pos="1260"/>
            </w:tabs>
            <w:rPr>
              <w:rStyle w:val="21"/>
              <w:rFonts w:ascii="仿宋" w:hAnsi="仿宋" w:eastAsia="仿宋" w:cs="仿宋"/>
              <w:sz w:val="24"/>
            </w:rPr>
          </w:pPr>
          <w:r>
            <w:fldChar w:fldCharType="begin"/>
          </w:r>
          <w:r>
            <w:instrText xml:space="preserve"> HYPERLINK \l "_Toc148972670" </w:instrText>
          </w:r>
          <w:r>
            <w:fldChar w:fldCharType="separate"/>
          </w:r>
          <w:r>
            <w:rPr>
              <w:rStyle w:val="21"/>
              <w:rFonts w:ascii="仿宋" w:hAnsi="仿宋" w:eastAsia="仿宋" w:cs="仿宋"/>
              <w:sz w:val="24"/>
            </w:rPr>
            <w:t>三、支出决算情况说明</w:t>
          </w:r>
          <w:r>
            <w:rPr>
              <w:rStyle w:val="21"/>
              <w:rFonts w:ascii="仿宋" w:hAnsi="仿宋" w:eastAsia="仿宋" w:cs="仿宋"/>
              <w:sz w:val="24"/>
            </w:rPr>
            <w:tab/>
          </w:r>
          <w:r>
            <w:rPr>
              <w:rStyle w:val="21"/>
              <w:rFonts w:ascii="仿宋" w:hAnsi="仿宋" w:eastAsia="仿宋" w:cs="仿宋"/>
              <w:sz w:val="24"/>
            </w:rPr>
            <w:fldChar w:fldCharType="begin"/>
          </w:r>
          <w:r>
            <w:rPr>
              <w:rStyle w:val="21"/>
              <w:rFonts w:ascii="仿宋" w:hAnsi="仿宋" w:eastAsia="仿宋" w:cs="仿宋"/>
              <w:sz w:val="24"/>
            </w:rPr>
            <w:instrText xml:space="preserve"> PAGEREF _Toc148972670 \h </w:instrText>
          </w:r>
          <w:r>
            <w:rPr>
              <w:rStyle w:val="21"/>
              <w:rFonts w:ascii="仿宋" w:hAnsi="仿宋" w:eastAsia="仿宋" w:cs="仿宋"/>
              <w:sz w:val="24"/>
            </w:rPr>
            <w:fldChar w:fldCharType="separate"/>
          </w:r>
          <w:r>
            <w:rPr>
              <w:rStyle w:val="21"/>
              <w:rFonts w:ascii="仿宋" w:hAnsi="仿宋" w:eastAsia="仿宋" w:cs="仿宋"/>
              <w:sz w:val="24"/>
            </w:rPr>
            <w:t>4</w:t>
          </w:r>
          <w:r>
            <w:rPr>
              <w:rStyle w:val="21"/>
              <w:rFonts w:ascii="仿宋" w:hAnsi="仿宋" w:eastAsia="仿宋" w:cs="仿宋"/>
              <w:sz w:val="24"/>
            </w:rPr>
            <w:fldChar w:fldCharType="end"/>
          </w:r>
          <w:r>
            <w:rPr>
              <w:rStyle w:val="21"/>
              <w:rFonts w:ascii="仿宋" w:hAnsi="仿宋" w:eastAsia="仿宋" w:cs="仿宋"/>
              <w:sz w:val="24"/>
            </w:rPr>
            <w:fldChar w:fldCharType="end"/>
          </w:r>
        </w:p>
        <w:p>
          <w:pPr>
            <w:pStyle w:val="14"/>
            <w:rPr>
              <w:rStyle w:val="21"/>
              <w:rFonts w:ascii="仿宋" w:hAnsi="仿宋" w:eastAsia="仿宋" w:cs="仿宋"/>
              <w:sz w:val="24"/>
            </w:rPr>
          </w:pPr>
          <w:r>
            <w:fldChar w:fldCharType="begin"/>
          </w:r>
          <w:r>
            <w:instrText xml:space="preserve"> HYPERLINK \l "_Toc148972671" </w:instrText>
          </w:r>
          <w:r>
            <w:fldChar w:fldCharType="separate"/>
          </w:r>
          <w:r>
            <w:rPr>
              <w:rStyle w:val="21"/>
              <w:rFonts w:ascii="仿宋" w:hAnsi="仿宋" w:eastAsia="仿宋" w:cs="仿宋"/>
              <w:sz w:val="24"/>
            </w:rPr>
            <w:t>四、财政拨款收入支出决算总体情况说明</w:t>
          </w:r>
          <w:r>
            <w:rPr>
              <w:rStyle w:val="21"/>
              <w:rFonts w:ascii="仿宋" w:hAnsi="仿宋" w:eastAsia="仿宋" w:cs="仿宋"/>
              <w:sz w:val="24"/>
            </w:rPr>
            <w:tab/>
          </w:r>
          <w:r>
            <w:rPr>
              <w:rStyle w:val="21"/>
              <w:rFonts w:ascii="仿宋" w:hAnsi="仿宋" w:eastAsia="仿宋" w:cs="仿宋"/>
              <w:sz w:val="24"/>
            </w:rPr>
            <w:fldChar w:fldCharType="begin"/>
          </w:r>
          <w:r>
            <w:rPr>
              <w:rStyle w:val="21"/>
              <w:rFonts w:ascii="仿宋" w:hAnsi="仿宋" w:eastAsia="仿宋" w:cs="仿宋"/>
              <w:sz w:val="24"/>
            </w:rPr>
            <w:instrText xml:space="preserve"> PAGEREF _Toc148972671 \h </w:instrText>
          </w:r>
          <w:r>
            <w:rPr>
              <w:rStyle w:val="21"/>
              <w:rFonts w:ascii="仿宋" w:hAnsi="仿宋" w:eastAsia="仿宋" w:cs="仿宋"/>
              <w:sz w:val="24"/>
            </w:rPr>
            <w:fldChar w:fldCharType="separate"/>
          </w:r>
          <w:r>
            <w:rPr>
              <w:rStyle w:val="21"/>
              <w:rFonts w:ascii="仿宋" w:hAnsi="仿宋" w:eastAsia="仿宋" w:cs="仿宋"/>
              <w:sz w:val="24"/>
            </w:rPr>
            <w:t>4</w:t>
          </w:r>
          <w:r>
            <w:rPr>
              <w:rStyle w:val="21"/>
              <w:rFonts w:ascii="仿宋" w:hAnsi="仿宋" w:eastAsia="仿宋" w:cs="仿宋"/>
              <w:sz w:val="24"/>
            </w:rPr>
            <w:fldChar w:fldCharType="end"/>
          </w:r>
          <w:r>
            <w:rPr>
              <w:rStyle w:val="21"/>
              <w:rFonts w:ascii="仿宋" w:hAnsi="仿宋" w:eastAsia="仿宋" w:cs="仿宋"/>
              <w:sz w:val="24"/>
            </w:rPr>
            <w:fldChar w:fldCharType="end"/>
          </w:r>
        </w:p>
        <w:p>
          <w:pPr>
            <w:pStyle w:val="14"/>
            <w:rPr>
              <w:rStyle w:val="21"/>
              <w:rFonts w:ascii="仿宋" w:hAnsi="仿宋" w:eastAsia="仿宋" w:cs="仿宋"/>
              <w:sz w:val="24"/>
            </w:rPr>
          </w:pPr>
          <w:r>
            <w:fldChar w:fldCharType="begin"/>
          </w:r>
          <w:r>
            <w:instrText xml:space="preserve"> HYPERLINK \l "_Toc148972672" </w:instrText>
          </w:r>
          <w:r>
            <w:fldChar w:fldCharType="separate"/>
          </w:r>
          <w:r>
            <w:rPr>
              <w:rStyle w:val="21"/>
              <w:rFonts w:ascii="仿宋" w:hAnsi="仿宋" w:eastAsia="仿宋" w:cs="仿宋"/>
              <w:sz w:val="24"/>
            </w:rPr>
            <w:t>五、一般公共预算财政拨款支出决算情况说明</w:t>
          </w:r>
          <w:r>
            <w:rPr>
              <w:rStyle w:val="21"/>
              <w:rFonts w:ascii="仿宋" w:hAnsi="仿宋" w:eastAsia="仿宋" w:cs="仿宋"/>
              <w:sz w:val="24"/>
            </w:rPr>
            <w:tab/>
          </w:r>
          <w:r>
            <w:rPr>
              <w:rStyle w:val="21"/>
              <w:rFonts w:ascii="仿宋" w:hAnsi="仿宋" w:eastAsia="仿宋" w:cs="仿宋"/>
              <w:sz w:val="24"/>
            </w:rPr>
            <w:fldChar w:fldCharType="begin"/>
          </w:r>
          <w:r>
            <w:rPr>
              <w:rStyle w:val="21"/>
              <w:rFonts w:ascii="仿宋" w:hAnsi="仿宋" w:eastAsia="仿宋" w:cs="仿宋"/>
              <w:sz w:val="24"/>
            </w:rPr>
            <w:instrText xml:space="preserve"> PAGEREF _Toc148972672 \h </w:instrText>
          </w:r>
          <w:r>
            <w:rPr>
              <w:rStyle w:val="21"/>
              <w:rFonts w:ascii="仿宋" w:hAnsi="仿宋" w:eastAsia="仿宋" w:cs="仿宋"/>
              <w:sz w:val="24"/>
            </w:rPr>
            <w:fldChar w:fldCharType="separate"/>
          </w:r>
          <w:r>
            <w:rPr>
              <w:rStyle w:val="21"/>
              <w:rFonts w:ascii="仿宋" w:hAnsi="仿宋" w:eastAsia="仿宋" w:cs="仿宋"/>
              <w:sz w:val="24"/>
            </w:rPr>
            <w:t>5</w:t>
          </w:r>
          <w:r>
            <w:rPr>
              <w:rStyle w:val="21"/>
              <w:rFonts w:ascii="仿宋" w:hAnsi="仿宋" w:eastAsia="仿宋" w:cs="仿宋"/>
              <w:sz w:val="24"/>
            </w:rPr>
            <w:fldChar w:fldCharType="end"/>
          </w:r>
          <w:r>
            <w:rPr>
              <w:rStyle w:val="21"/>
              <w:rFonts w:ascii="仿宋" w:hAnsi="仿宋" w:eastAsia="仿宋" w:cs="仿宋"/>
              <w:sz w:val="24"/>
            </w:rPr>
            <w:fldChar w:fldCharType="end"/>
          </w:r>
        </w:p>
        <w:p>
          <w:pPr>
            <w:pStyle w:val="14"/>
            <w:rPr>
              <w:rStyle w:val="21"/>
              <w:rFonts w:ascii="仿宋" w:hAnsi="仿宋" w:eastAsia="仿宋" w:cs="仿宋"/>
              <w:sz w:val="24"/>
            </w:rPr>
          </w:pPr>
          <w:r>
            <w:fldChar w:fldCharType="begin"/>
          </w:r>
          <w:r>
            <w:instrText xml:space="preserve"> HYPERLINK \l "_Toc148972673" </w:instrText>
          </w:r>
          <w:r>
            <w:fldChar w:fldCharType="separate"/>
          </w:r>
          <w:r>
            <w:rPr>
              <w:rStyle w:val="21"/>
              <w:rFonts w:ascii="仿宋" w:hAnsi="仿宋" w:eastAsia="仿宋" w:cs="仿宋"/>
              <w:sz w:val="24"/>
            </w:rPr>
            <w:t>六、一般公共预算财政拨款基本支出决算情况说明</w:t>
          </w:r>
          <w:r>
            <w:rPr>
              <w:rStyle w:val="21"/>
              <w:rFonts w:ascii="仿宋" w:hAnsi="仿宋" w:eastAsia="仿宋" w:cs="仿宋"/>
              <w:sz w:val="24"/>
            </w:rPr>
            <w:tab/>
          </w:r>
          <w:r>
            <w:rPr>
              <w:rStyle w:val="21"/>
              <w:rFonts w:ascii="仿宋" w:hAnsi="仿宋" w:eastAsia="仿宋" w:cs="仿宋"/>
              <w:sz w:val="24"/>
            </w:rPr>
            <w:fldChar w:fldCharType="begin"/>
          </w:r>
          <w:r>
            <w:rPr>
              <w:rStyle w:val="21"/>
              <w:rFonts w:ascii="仿宋" w:hAnsi="仿宋" w:eastAsia="仿宋" w:cs="仿宋"/>
              <w:sz w:val="24"/>
            </w:rPr>
            <w:instrText xml:space="preserve"> PAGEREF _Toc148972673 \h </w:instrText>
          </w:r>
          <w:r>
            <w:rPr>
              <w:rStyle w:val="21"/>
              <w:rFonts w:ascii="仿宋" w:hAnsi="仿宋" w:eastAsia="仿宋" w:cs="仿宋"/>
              <w:sz w:val="24"/>
            </w:rPr>
            <w:fldChar w:fldCharType="separate"/>
          </w:r>
          <w:r>
            <w:rPr>
              <w:rStyle w:val="21"/>
              <w:rFonts w:ascii="仿宋" w:hAnsi="仿宋" w:eastAsia="仿宋" w:cs="仿宋"/>
              <w:sz w:val="24"/>
            </w:rPr>
            <w:t>6</w:t>
          </w:r>
          <w:r>
            <w:rPr>
              <w:rStyle w:val="21"/>
              <w:rFonts w:ascii="仿宋" w:hAnsi="仿宋" w:eastAsia="仿宋" w:cs="仿宋"/>
              <w:sz w:val="24"/>
            </w:rPr>
            <w:fldChar w:fldCharType="end"/>
          </w:r>
          <w:r>
            <w:rPr>
              <w:rStyle w:val="21"/>
              <w:rFonts w:ascii="仿宋" w:hAnsi="仿宋" w:eastAsia="仿宋" w:cs="仿宋"/>
              <w:sz w:val="24"/>
            </w:rPr>
            <w:fldChar w:fldCharType="end"/>
          </w:r>
        </w:p>
        <w:p>
          <w:pPr>
            <w:pStyle w:val="14"/>
            <w:rPr>
              <w:rStyle w:val="21"/>
              <w:rFonts w:ascii="仿宋" w:hAnsi="仿宋" w:eastAsia="仿宋" w:cs="仿宋"/>
              <w:sz w:val="24"/>
            </w:rPr>
          </w:pPr>
          <w:r>
            <w:fldChar w:fldCharType="begin"/>
          </w:r>
          <w:r>
            <w:instrText xml:space="preserve"> HYPERLINK \l "_Toc148972674" </w:instrText>
          </w:r>
          <w:r>
            <w:fldChar w:fldCharType="separate"/>
          </w:r>
          <w:r>
            <w:rPr>
              <w:rStyle w:val="21"/>
              <w:rFonts w:ascii="仿宋" w:hAnsi="仿宋" w:eastAsia="仿宋" w:cs="仿宋"/>
              <w:sz w:val="24"/>
            </w:rPr>
            <w:t>七、财政拨款“三公”经费支出决算情况说明</w:t>
          </w:r>
          <w:r>
            <w:rPr>
              <w:rStyle w:val="21"/>
              <w:rFonts w:ascii="仿宋" w:hAnsi="仿宋" w:eastAsia="仿宋" w:cs="仿宋"/>
              <w:sz w:val="24"/>
            </w:rPr>
            <w:tab/>
          </w:r>
          <w:r>
            <w:rPr>
              <w:rStyle w:val="21"/>
              <w:rFonts w:ascii="仿宋" w:hAnsi="仿宋" w:eastAsia="仿宋" w:cs="仿宋"/>
              <w:sz w:val="24"/>
            </w:rPr>
            <w:fldChar w:fldCharType="begin"/>
          </w:r>
          <w:r>
            <w:rPr>
              <w:rStyle w:val="21"/>
              <w:rFonts w:ascii="仿宋" w:hAnsi="仿宋" w:eastAsia="仿宋" w:cs="仿宋"/>
              <w:sz w:val="24"/>
            </w:rPr>
            <w:instrText xml:space="preserve"> PAGEREF _Toc148972674 \h </w:instrText>
          </w:r>
          <w:r>
            <w:rPr>
              <w:rStyle w:val="21"/>
              <w:rFonts w:ascii="仿宋" w:hAnsi="仿宋" w:eastAsia="仿宋" w:cs="仿宋"/>
              <w:sz w:val="24"/>
            </w:rPr>
            <w:fldChar w:fldCharType="separate"/>
          </w:r>
          <w:r>
            <w:rPr>
              <w:rStyle w:val="21"/>
              <w:rFonts w:ascii="仿宋" w:hAnsi="仿宋" w:eastAsia="仿宋" w:cs="仿宋"/>
              <w:sz w:val="24"/>
            </w:rPr>
            <w:t>7</w:t>
          </w:r>
          <w:r>
            <w:rPr>
              <w:rStyle w:val="21"/>
              <w:rFonts w:ascii="仿宋" w:hAnsi="仿宋" w:eastAsia="仿宋" w:cs="仿宋"/>
              <w:sz w:val="24"/>
            </w:rPr>
            <w:fldChar w:fldCharType="end"/>
          </w:r>
          <w:r>
            <w:rPr>
              <w:rStyle w:val="21"/>
              <w:rFonts w:ascii="仿宋" w:hAnsi="仿宋" w:eastAsia="仿宋" w:cs="仿宋"/>
              <w:sz w:val="24"/>
            </w:rPr>
            <w:fldChar w:fldCharType="end"/>
          </w:r>
        </w:p>
        <w:p>
          <w:pPr>
            <w:pStyle w:val="14"/>
            <w:rPr>
              <w:rStyle w:val="21"/>
              <w:rFonts w:ascii="仿宋" w:hAnsi="仿宋" w:eastAsia="仿宋" w:cs="仿宋"/>
              <w:sz w:val="24"/>
            </w:rPr>
          </w:pPr>
          <w:r>
            <w:fldChar w:fldCharType="begin"/>
          </w:r>
          <w:r>
            <w:instrText xml:space="preserve"> HYPERLINK \l "_Toc148972675" </w:instrText>
          </w:r>
          <w:r>
            <w:fldChar w:fldCharType="separate"/>
          </w:r>
          <w:r>
            <w:rPr>
              <w:rStyle w:val="21"/>
              <w:rFonts w:ascii="仿宋" w:hAnsi="仿宋" w:eastAsia="仿宋" w:cs="仿宋"/>
              <w:sz w:val="24"/>
            </w:rPr>
            <w:t>八、政府性基金预算支出决算情况说明</w:t>
          </w:r>
          <w:r>
            <w:rPr>
              <w:rStyle w:val="21"/>
              <w:rFonts w:ascii="仿宋" w:hAnsi="仿宋" w:eastAsia="仿宋" w:cs="仿宋"/>
              <w:sz w:val="24"/>
            </w:rPr>
            <w:tab/>
          </w:r>
          <w:r>
            <w:rPr>
              <w:rStyle w:val="21"/>
              <w:rFonts w:ascii="仿宋" w:hAnsi="仿宋" w:eastAsia="仿宋" w:cs="仿宋"/>
              <w:sz w:val="24"/>
            </w:rPr>
            <w:fldChar w:fldCharType="begin"/>
          </w:r>
          <w:r>
            <w:rPr>
              <w:rStyle w:val="21"/>
              <w:rFonts w:ascii="仿宋" w:hAnsi="仿宋" w:eastAsia="仿宋" w:cs="仿宋"/>
              <w:sz w:val="24"/>
            </w:rPr>
            <w:instrText xml:space="preserve"> PAGEREF _Toc148972675 \h </w:instrText>
          </w:r>
          <w:r>
            <w:rPr>
              <w:rStyle w:val="21"/>
              <w:rFonts w:ascii="仿宋" w:hAnsi="仿宋" w:eastAsia="仿宋" w:cs="仿宋"/>
              <w:sz w:val="24"/>
            </w:rPr>
            <w:fldChar w:fldCharType="separate"/>
          </w:r>
          <w:r>
            <w:rPr>
              <w:rStyle w:val="21"/>
              <w:rFonts w:ascii="仿宋" w:hAnsi="仿宋" w:eastAsia="仿宋" w:cs="仿宋"/>
              <w:sz w:val="24"/>
            </w:rPr>
            <w:t>8</w:t>
          </w:r>
          <w:r>
            <w:rPr>
              <w:rStyle w:val="21"/>
              <w:rFonts w:ascii="仿宋" w:hAnsi="仿宋" w:eastAsia="仿宋" w:cs="仿宋"/>
              <w:sz w:val="24"/>
            </w:rPr>
            <w:fldChar w:fldCharType="end"/>
          </w:r>
          <w:r>
            <w:rPr>
              <w:rStyle w:val="21"/>
              <w:rFonts w:ascii="仿宋" w:hAnsi="仿宋" w:eastAsia="仿宋" w:cs="仿宋"/>
              <w:sz w:val="24"/>
            </w:rPr>
            <w:fldChar w:fldCharType="end"/>
          </w:r>
        </w:p>
        <w:p>
          <w:pPr>
            <w:pStyle w:val="14"/>
            <w:rPr>
              <w:rStyle w:val="21"/>
              <w:rFonts w:ascii="仿宋" w:hAnsi="仿宋" w:eastAsia="仿宋" w:cs="仿宋"/>
              <w:sz w:val="24"/>
            </w:rPr>
          </w:pPr>
          <w:r>
            <w:fldChar w:fldCharType="begin"/>
          </w:r>
          <w:r>
            <w:instrText xml:space="preserve"> HYPERLINK \l "_Toc148972676" </w:instrText>
          </w:r>
          <w:r>
            <w:fldChar w:fldCharType="separate"/>
          </w:r>
          <w:r>
            <w:rPr>
              <w:rStyle w:val="21"/>
              <w:rFonts w:ascii="仿宋" w:hAnsi="仿宋" w:eastAsia="仿宋" w:cs="仿宋"/>
              <w:sz w:val="24"/>
            </w:rPr>
            <w:t>九、国有资本经营预算支出决算情况说明</w:t>
          </w:r>
          <w:r>
            <w:rPr>
              <w:rStyle w:val="21"/>
              <w:rFonts w:ascii="仿宋" w:hAnsi="仿宋" w:eastAsia="仿宋" w:cs="仿宋"/>
              <w:sz w:val="24"/>
            </w:rPr>
            <w:tab/>
          </w:r>
          <w:r>
            <w:rPr>
              <w:rStyle w:val="21"/>
              <w:rFonts w:ascii="仿宋" w:hAnsi="仿宋" w:eastAsia="仿宋" w:cs="仿宋"/>
              <w:sz w:val="24"/>
            </w:rPr>
            <w:fldChar w:fldCharType="begin"/>
          </w:r>
          <w:r>
            <w:rPr>
              <w:rStyle w:val="21"/>
              <w:rFonts w:ascii="仿宋" w:hAnsi="仿宋" w:eastAsia="仿宋" w:cs="仿宋"/>
              <w:sz w:val="24"/>
            </w:rPr>
            <w:instrText xml:space="preserve"> PAGEREF _Toc148972676 \h </w:instrText>
          </w:r>
          <w:r>
            <w:rPr>
              <w:rStyle w:val="21"/>
              <w:rFonts w:ascii="仿宋" w:hAnsi="仿宋" w:eastAsia="仿宋" w:cs="仿宋"/>
              <w:sz w:val="24"/>
            </w:rPr>
            <w:fldChar w:fldCharType="separate"/>
          </w:r>
          <w:r>
            <w:rPr>
              <w:rStyle w:val="21"/>
              <w:rFonts w:ascii="仿宋" w:hAnsi="仿宋" w:eastAsia="仿宋" w:cs="仿宋"/>
              <w:sz w:val="24"/>
            </w:rPr>
            <w:t>8</w:t>
          </w:r>
          <w:r>
            <w:rPr>
              <w:rStyle w:val="21"/>
              <w:rFonts w:ascii="仿宋" w:hAnsi="仿宋" w:eastAsia="仿宋" w:cs="仿宋"/>
              <w:sz w:val="24"/>
            </w:rPr>
            <w:fldChar w:fldCharType="end"/>
          </w:r>
          <w:r>
            <w:rPr>
              <w:rStyle w:val="21"/>
              <w:rFonts w:ascii="仿宋" w:hAnsi="仿宋" w:eastAsia="仿宋" w:cs="仿宋"/>
              <w:sz w:val="24"/>
            </w:rPr>
            <w:fldChar w:fldCharType="end"/>
          </w:r>
        </w:p>
        <w:p>
          <w:pPr>
            <w:pStyle w:val="14"/>
            <w:rPr>
              <w:rStyle w:val="21"/>
              <w:rFonts w:ascii="仿宋" w:hAnsi="仿宋" w:eastAsia="仿宋" w:cs="仿宋"/>
              <w:sz w:val="24"/>
            </w:rPr>
          </w:pPr>
          <w:r>
            <w:fldChar w:fldCharType="begin"/>
          </w:r>
          <w:r>
            <w:instrText xml:space="preserve"> HYPERLINK \l "_Toc148972677" </w:instrText>
          </w:r>
          <w:r>
            <w:fldChar w:fldCharType="separate"/>
          </w:r>
          <w:r>
            <w:rPr>
              <w:rStyle w:val="21"/>
              <w:rFonts w:ascii="仿宋" w:hAnsi="仿宋" w:eastAsia="仿宋" w:cs="仿宋"/>
              <w:sz w:val="24"/>
            </w:rPr>
            <w:t>十、其他重要事项的情况说明</w:t>
          </w:r>
          <w:r>
            <w:rPr>
              <w:rStyle w:val="21"/>
              <w:rFonts w:ascii="仿宋" w:hAnsi="仿宋" w:eastAsia="仿宋" w:cs="仿宋"/>
              <w:sz w:val="24"/>
            </w:rPr>
            <w:tab/>
          </w:r>
          <w:r>
            <w:rPr>
              <w:rStyle w:val="21"/>
              <w:rFonts w:ascii="仿宋" w:hAnsi="仿宋" w:eastAsia="仿宋" w:cs="仿宋"/>
              <w:sz w:val="24"/>
            </w:rPr>
            <w:fldChar w:fldCharType="begin"/>
          </w:r>
          <w:r>
            <w:rPr>
              <w:rStyle w:val="21"/>
              <w:rFonts w:ascii="仿宋" w:hAnsi="仿宋" w:eastAsia="仿宋" w:cs="仿宋"/>
              <w:sz w:val="24"/>
            </w:rPr>
            <w:instrText xml:space="preserve"> PAGEREF _Toc148972677 \h </w:instrText>
          </w:r>
          <w:r>
            <w:rPr>
              <w:rStyle w:val="21"/>
              <w:rFonts w:ascii="仿宋" w:hAnsi="仿宋" w:eastAsia="仿宋" w:cs="仿宋"/>
              <w:sz w:val="24"/>
            </w:rPr>
            <w:fldChar w:fldCharType="separate"/>
          </w:r>
          <w:r>
            <w:rPr>
              <w:rStyle w:val="21"/>
              <w:rFonts w:ascii="仿宋" w:hAnsi="仿宋" w:eastAsia="仿宋" w:cs="仿宋"/>
              <w:sz w:val="24"/>
            </w:rPr>
            <w:t>8</w:t>
          </w:r>
          <w:r>
            <w:rPr>
              <w:rStyle w:val="21"/>
              <w:rFonts w:ascii="仿宋" w:hAnsi="仿宋" w:eastAsia="仿宋" w:cs="仿宋"/>
              <w:sz w:val="24"/>
            </w:rPr>
            <w:fldChar w:fldCharType="end"/>
          </w:r>
          <w:r>
            <w:rPr>
              <w:rStyle w:val="21"/>
              <w:rFonts w:ascii="仿宋" w:hAnsi="仿宋" w:eastAsia="仿宋" w:cs="仿宋"/>
              <w:sz w:val="24"/>
            </w:rPr>
            <w:fldChar w:fldCharType="end"/>
          </w:r>
        </w:p>
        <w:p>
          <w:pPr>
            <w:pStyle w:val="13"/>
            <w:rPr>
              <w:rStyle w:val="21"/>
              <w:sz w:val="24"/>
              <w:szCs w:val="24"/>
            </w:rPr>
          </w:pPr>
          <w:r>
            <w:fldChar w:fldCharType="begin"/>
          </w:r>
          <w:r>
            <w:instrText xml:space="preserve"> HYPERLINK \l "_Toc148972679" </w:instrText>
          </w:r>
          <w:r>
            <w:fldChar w:fldCharType="separate"/>
          </w:r>
          <w:r>
            <w:rPr>
              <w:rStyle w:val="21"/>
              <w:rFonts w:eastAsia="黑体"/>
              <w:bCs/>
              <w:kern w:val="44"/>
              <w:sz w:val="24"/>
              <w:szCs w:val="24"/>
            </w:rPr>
            <w:t>第三部分</w:t>
          </w:r>
          <w:r>
            <w:rPr>
              <w:rStyle w:val="21"/>
              <w:rFonts w:eastAsia="黑体"/>
              <w:sz w:val="24"/>
              <w:szCs w:val="24"/>
            </w:rPr>
            <w:t>名</w:t>
          </w:r>
          <w:r>
            <w:rPr>
              <w:rStyle w:val="21"/>
              <w:rFonts w:eastAsia="黑体"/>
              <w:bCs/>
              <w:kern w:val="44"/>
              <w:sz w:val="24"/>
              <w:szCs w:val="24"/>
            </w:rPr>
            <w:t>词解释</w:t>
          </w:r>
          <w:r>
            <w:rPr>
              <w:sz w:val="24"/>
              <w:szCs w:val="24"/>
            </w:rPr>
            <w:tab/>
          </w:r>
          <w:r>
            <w:rPr>
              <w:sz w:val="21"/>
              <w:szCs w:val="21"/>
            </w:rPr>
            <w:fldChar w:fldCharType="begin"/>
          </w:r>
          <w:r>
            <w:rPr>
              <w:sz w:val="21"/>
              <w:szCs w:val="21"/>
            </w:rPr>
            <w:instrText xml:space="preserve"> PAGEREF _Toc148972679 \h </w:instrText>
          </w:r>
          <w:r>
            <w:rPr>
              <w:sz w:val="21"/>
              <w:szCs w:val="21"/>
            </w:rPr>
            <w:fldChar w:fldCharType="separate"/>
          </w:r>
          <w:r>
            <w:rPr>
              <w:sz w:val="21"/>
              <w:szCs w:val="21"/>
            </w:rPr>
            <w:t>10</w:t>
          </w:r>
          <w:r>
            <w:rPr>
              <w:sz w:val="21"/>
              <w:szCs w:val="21"/>
            </w:rPr>
            <w:fldChar w:fldCharType="end"/>
          </w:r>
          <w:r>
            <w:rPr>
              <w:sz w:val="21"/>
              <w:szCs w:val="21"/>
            </w:rPr>
            <w:fldChar w:fldCharType="end"/>
          </w:r>
        </w:p>
        <w:p>
          <w:pPr>
            <w:rPr>
              <w:rStyle w:val="21"/>
              <w:rFonts w:ascii="仿宋" w:hAnsi="仿宋" w:eastAsia="黑体"/>
              <w:i/>
              <w:color w:val="auto"/>
              <w:sz w:val="24"/>
              <w:u w:val="none"/>
            </w:rPr>
          </w:pPr>
          <w:r>
            <w:rPr>
              <w:rStyle w:val="21"/>
              <w:rFonts w:ascii="仿宋" w:hAnsi="仿宋" w:eastAsia="黑体"/>
              <w:bCs/>
              <w:color w:val="auto"/>
              <w:kern w:val="44"/>
              <w:sz w:val="24"/>
              <w:u w:val="none"/>
            </w:rPr>
            <w:t>第</w:t>
          </w:r>
          <w:r>
            <w:rPr>
              <w:rStyle w:val="21"/>
              <w:rFonts w:ascii="仿宋" w:hAnsi="仿宋" w:eastAsia="黑体"/>
              <w:color w:val="auto"/>
              <w:sz w:val="24"/>
              <w:u w:val="none"/>
            </w:rPr>
            <w:t>四部分</w:t>
          </w:r>
          <w:r>
            <w:rPr>
              <w:rStyle w:val="21"/>
              <w:rFonts w:hint="eastAsia" w:ascii="仿宋" w:hAnsi="仿宋" w:eastAsia="黑体"/>
              <w:color w:val="auto"/>
              <w:sz w:val="24"/>
              <w:u w:val="none"/>
            </w:rPr>
            <w:t>附件</w:t>
          </w:r>
          <w:r>
            <w:rPr>
              <w:rStyle w:val="21"/>
              <w:rFonts w:ascii="仿宋" w:hAnsi="仿宋" w:eastAsia="黑体"/>
              <w:color w:val="auto"/>
              <w:sz w:val="24"/>
              <w:u w:val="none"/>
            </w:rPr>
            <w:t>…………………………………………</w:t>
          </w:r>
          <w:r>
            <w:rPr>
              <w:rStyle w:val="21"/>
              <w:rFonts w:hint="eastAsia" w:ascii="仿宋" w:hAnsi="仿宋" w:eastAsia="黑体"/>
              <w:color w:val="auto"/>
              <w:sz w:val="24"/>
              <w:u w:val="none"/>
            </w:rPr>
            <w:t xml:space="preserve"> </w:t>
          </w:r>
          <w:r>
            <w:rPr>
              <w:rStyle w:val="21"/>
              <w:rFonts w:ascii="仿宋" w:hAnsi="仿宋" w:eastAsia="黑体"/>
              <w:color w:val="auto"/>
              <w:sz w:val="24"/>
              <w:u w:val="none"/>
            </w:rPr>
            <w:t>……………………………</w:t>
          </w:r>
          <w:r>
            <w:rPr>
              <w:rStyle w:val="21"/>
              <w:rFonts w:ascii="仿宋" w:hAnsi="仿宋" w:eastAsia="黑体"/>
              <w:color w:val="auto"/>
              <w:szCs w:val="21"/>
              <w:u w:val="none"/>
            </w:rPr>
            <w:t>21</w:t>
          </w:r>
        </w:p>
        <w:p>
          <w:pPr>
            <w:pStyle w:val="13"/>
            <w:rPr>
              <w:rFonts w:asciiTheme="minorHAnsi" w:hAnsiTheme="minorHAnsi" w:eastAsiaTheme="minorEastAsia" w:cstheme="minorBidi"/>
              <w:sz w:val="24"/>
              <w:szCs w:val="24"/>
            </w:rPr>
          </w:pPr>
          <w:r>
            <w:fldChar w:fldCharType="begin"/>
          </w:r>
          <w:r>
            <w:instrText xml:space="preserve"> HYPERLINK \l "_Toc148972680" </w:instrText>
          </w:r>
          <w:r>
            <w:fldChar w:fldCharType="separate"/>
          </w:r>
          <w:r>
            <w:rPr>
              <w:rStyle w:val="21"/>
              <w:rFonts w:ascii="黑体" w:hAnsi="黑体" w:eastAsia="黑体"/>
              <w:sz w:val="24"/>
              <w:szCs w:val="24"/>
            </w:rPr>
            <w:t>第</w:t>
          </w:r>
          <w:r>
            <w:rPr>
              <w:rStyle w:val="21"/>
              <w:rFonts w:ascii="黑体" w:hAnsi="黑体" w:eastAsia="黑体"/>
              <w:bCs/>
              <w:kern w:val="44"/>
              <w:sz w:val="24"/>
              <w:szCs w:val="24"/>
            </w:rPr>
            <w:t>五部分 附表</w:t>
          </w:r>
          <w:r>
            <w:rPr>
              <w:sz w:val="24"/>
              <w:szCs w:val="24"/>
            </w:rPr>
            <w:tab/>
          </w:r>
          <w:r>
            <w:rPr>
              <w:sz w:val="24"/>
              <w:szCs w:val="24"/>
            </w:rPr>
            <w:fldChar w:fldCharType="begin"/>
          </w:r>
          <w:r>
            <w:rPr>
              <w:sz w:val="24"/>
              <w:szCs w:val="24"/>
            </w:rPr>
            <w:instrText xml:space="preserve"> PAGEREF _Toc148972680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14"/>
            <w:rPr>
              <w:rFonts w:ascii="仿宋" w:hAnsi="仿宋" w:eastAsia="仿宋"/>
              <w:sz w:val="24"/>
            </w:rPr>
          </w:pPr>
          <w:r>
            <w:fldChar w:fldCharType="begin"/>
          </w:r>
          <w:r>
            <w:instrText xml:space="preserve"> HYPERLINK \l "_Toc148972681" </w:instrText>
          </w:r>
          <w:r>
            <w:fldChar w:fldCharType="separate"/>
          </w:r>
          <w:r>
            <w:rPr>
              <w:rFonts w:ascii="仿宋" w:hAnsi="仿宋" w:eastAsia="仿宋"/>
              <w:sz w:val="24"/>
            </w:rPr>
            <w:t>一、收入支出决算总表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_Toc148972681 \h </w:instrText>
          </w:r>
          <w:r>
            <w:rPr>
              <w:rFonts w:ascii="仿宋" w:hAnsi="仿宋" w:eastAsia="仿宋"/>
              <w:sz w:val="24"/>
            </w:rPr>
            <w:fldChar w:fldCharType="separate"/>
          </w:r>
          <w:r>
            <w:rPr>
              <w:rFonts w:ascii="仿宋" w:hAnsi="仿宋" w:eastAsia="仿宋"/>
              <w:sz w:val="24"/>
            </w:rPr>
            <w:t>39</w:t>
          </w:r>
          <w:r>
            <w:rPr>
              <w:rFonts w:ascii="仿宋" w:hAnsi="仿宋" w:eastAsia="仿宋"/>
              <w:sz w:val="24"/>
            </w:rPr>
            <w:fldChar w:fldCharType="end"/>
          </w:r>
          <w:r>
            <w:rPr>
              <w:rFonts w:ascii="仿宋" w:hAnsi="仿宋" w:eastAsia="仿宋"/>
              <w:sz w:val="24"/>
            </w:rPr>
            <w:fldChar w:fldCharType="end"/>
          </w:r>
        </w:p>
        <w:p>
          <w:pPr>
            <w:pStyle w:val="14"/>
            <w:rPr>
              <w:rFonts w:ascii="仿宋" w:hAnsi="仿宋" w:eastAsia="仿宋"/>
              <w:sz w:val="24"/>
            </w:rPr>
          </w:pPr>
          <w:r>
            <w:fldChar w:fldCharType="begin"/>
          </w:r>
          <w:r>
            <w:instrText xml:space="preserve"> HYPERLINK \l "_Toc148972682" </w:instrText>
          </w:r>
          <w:r>
            <w:fldChar w:fldCharType="separate"/>
          </w:r>
          <w:r>
            <w:rPr>
              <w:rFonts w:ascii="仿宋" w:hAnsi="仿宋" w:eastAsia="仿宋"/>
              <w:sz w:val="24"/>
            </w:rPr>
            <w:t>二、收入决算表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_Toc148972682 \h </w:instrText>
          </w:r>
          <w:r>
            <w:rPr>
              <w:rFonts w:ascii="仿宋" w:hAnsi="仿宋" w:eastAsia="仿宋"/>
              <w:sz w:val="24"/>
            </w:rPr>
            <w:fldChar w:fldCharType="separate"/>
          </w:r>
          <w:r>
            <w:rPr>
              <w:rFonts w:ascii="仿宋" w:hAnsi="仿宋" w:eastAsia="仿宋"/>
              <w:sz w:val="24"/>
            </w:rPr>
            <w:t>39</w:t>
          </w:r>
          <w:r>
            <w:rPr>
              <w:rFonts w:ascii="仿宋" w:hAnsi="仿宋" w:eastAsia="仿宋"/>
              <w:sz w:val="24"/>
            </w:rPr>
            <w:fldChar w:fldCharType="end"/>
          </w:r>
          <w:r>
            <w:rPr>
              <w:rFonts w:ascii="仿宋" w:hAnsi="仿宋" w:eastAsia="仿宋"/>
              <w:sz w:val="24"/>
            </w:rPr>
            <w:fldChar w:fldCharType="end"/>
          </w:r>
        </w:p>
        <w:p>
          <w:pPr>
            <w:pStyle w:val="14"/>
            <w:rPr>
              <w:rFonts w:ascii="仿宋" w:hAnsi="仿宋" w:eastAsia="仿宋"/>
              <w:sz w:val="24"/>
            </w:rPr>
          </w:pPr>
          <w:r>
            <w:fldChar w:fldCharType="begin"/>
          </w:r>
          <w:r>
            <w:instrText xml:space="preserve"> HYPERLINK \l "_Toc148972683" </w:instrText>
          </w:r>
          <w:r>
            <w:fldChar w:fldCharType="separate"/>
          </w:r>
          <w:r>
            <w:rPr>
              <w:rFonts w:ascii="仿宋" w:hAnsi="仿宋" w:eastAsia="仿宋"/>
              <w:sz w:val="24"/>
            </w:rPr>
            <w:t>三、支出决算表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_Toc148972683 \h </w:instrText>
          </w:r>
          <w:r>
            <w:rPr>
              <w:rFonts w:ascii="仿宋" w:hAnsi="仿宋" w:eastAsia="仿宋"/>
              <w:sz w:val="24"/>
            </w:rPr>
            <w:fldChar w:fldCharType="separate"/>
          </w:r>
          <w:r>
            <w:rPr>
              <w:rFonts w:ascii="仿宋" w:hAnsi="仿宋" w:eastAsia="仿宋"/>
              <w:sz w:val="24"/>
            </w:rPr>
            <w:t>39</w:t>
          </w:r>
          <w:r>
            <w:rPr>
              <w:rFonts w:ascii="仿宋" w:hAnsi="仿宋" w:eastAsia="仿宋"/>
              <w:sz w:val="24"/>
            </w:rPr>
            <w:fldChar w:fldCharType="end"/>
          </w:r>
          <w:r>
            <w:rPr>
              <w:rFonts w:ascii="仿宋" w:hAnsi="仿宋" w:eastAsia="仿宋"/>
              <w:sz w:val="24"/>
            </w:rPr>
            <w:fldChar w:fldCharType="end"/>
          </w:r>
        </w:p>
        <w:p>
          <w:pPr>
            <w:pStyle w:val="14"/>
            <w:rPr>
              <w:rFonts w:ascii="仿宋" w:hAnsi="仿宋" w:eastAsia="仿宋"/>
              <w:sz w:val="24"/>
            </w:rPr>
          </w:pPr>
          <w:r>
            <w:fldChar w:fldCharType="begin"/>
          </w:r>
          <w:r>
            <w:instrText xml:space="preserve"> HYPERLINK \l "_Toc148972684" </w:instrText>
          </w:r>
          <w:r>
            <w:fldChar w:fldCharType="separate"/>
          </w:r>
          <w:r>
            <w:rPr>
              <w:rFonts w:ascii="仿宋" w:hAnsi="仿宋" w:eastAsia="仿宋"/>
              <w:sz w:val="24"/>
            </w:rPr>
            <w:t>四、财政拨款收入支出决算总表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_Toc148972684 \h </w:instrText>
          </w:r>
          <w:r>
            <w:rPr>
              <w:rFonts w:ascii="仿宋" w:hAnsi="仿宋" w:eastAsia="仿宋"/>
              <w:sz w:val="24"/>
            </w:rPr>
            <w:fldChar w:fldCharType="separate"/>
          </w:r>
          <w:r>
            <w:rPr>
              <w:rFonts w:ascii="仿宋" w:hAnsi="仿宋" w:eastAsia="仿宋"/>
              <w:sz w:val="24"/>
            </w:rPr>
            <w:t>39</w:t>
          </w:r>
          <w:r>
            <w:rPr>
              <w:rFonts w:ascii="仿宋" w:hAnsi="仿宋" w:eastAsia="仿宋"/>
              <w:sz w:val="24"/>
            </w:rPr>
            <w:fldChar w:fldCharType="end"/>
          </w:r>
          <w:r>
            <w:rPr>
              <w:rFonts w:ascii="仿宋" w:hAnsi="仿宋" w:eastAsia="仿宋"/>
              <w:sz w:val="24"/>
            </w:rPr>
            <w:fldChar w:fldCharType="end"/>
          </w:r>
        </w:p>
        <w:p>
          <w:pPr>
            <w:pStyle w:val="14"/>
            <w:rPr>
              <w:rFonts w:ascii="仿宋" w:hAnsi="仿宋" w:eastAsia="仿宋"/>
              <w:sz w:val="24"/>
            </w:rPr>
          </w:pPr>
          <w:r>
            <w:fldChar w:fldCharType="begin"/>
          </w:r>
          <w:r>
            <w:instrText xml:space="preserve"> HYPERLINK \l "_Toc148972685" </w:instrText>
          </w:r>
          <w:r>
            <w:fldChar w:fldCharType="separate"/>
          </w:r>
          <w:r>
            <w:rPr>
              <w:rFonts w:ascii="仿宋" w:hAnsi="仿宋" w:eastAsia="仿宋"/>
              <w:sz w:val="24"/>
            </w:rPr>
            <w:t>五、财政拨款支出决算明细表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_Toc148972685 \h </w:instrText>
          </w:r>
          <w:r>
            <w:rPr>
              <w:rFonts w:ascii="仿宋" w:hAnsi="仿宋" w:eastAsia="仿宋"/>
              <w:sz w:val="24"/>
            </w:rPr>
            <w:fldChar w:fldCharType="separate"/>
          </w:r>
          <w:r>
            <w:rPr>
              <w:rFonts w:ascii="仿宋" w:hAnsi="仿宋" w:eastAsia="仿宋"/>
              <w:sz w:val="24"/>
            </w:rPr>
            <w:t>39</w:t>
          </w:r>
          <w:r>
            <w:rPr>
              <w:rFonts w:ascii="仿宋" w:hAnsi="仿宋" w:eastAsia="仿宋"/>
              <w:sz w:val="24"/>
            </w:rPr>
            <w:fldChar w:fldCharType="end"/>
          </w:r>
          <w:r>
            <w:rPr>
              <w:rFonts w:ascii="仿宋" w:hAnsi="仿宋" w:eastAsia="仿宋"/>
              <w:sz w:val="24"/>
            </w:rPr>
            <w:fldChar w:fldCharType="end"/>
          </w:r>
        </w:p>
        <w:p>
          <w:pPr>
            <w:pStyle w:val="14"/>
            <w:rPr>
              <w:rFonts w:ascii="仿宋" w:hAnsi="仿宋" w:eastAsia="仿宋"/>
              <w:sz w:val="24"/>
            </w:rPr>
          </w:pPr>
          <w:r>
            <w:fldChar w:fldCharType="begin"/>
          </w:r>
          <w:r>
            <w:instrText xml:space="preserve"> HYPERLINK \l "_Toc148972686" </w:instrText>
          </w:r>
          <w:r>
            <w:fldChar w:fldCharType="separate"/>
          </w:r>
          <w:r>
            <w:rPr>
              <w:rFonts w:ascii="仿宋" w:hAnsi="仿宋" w:eastAsia="仿宋"/>
              <w:sz w:val="24"/>
            </w:rPr>
            <w:t>六、一般公共预算财政拨款支出决算表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_Toc148972686 \h </w:instrText>
          </w:r>
          <w:r>
            <w:rPr>
              <w:rFonts w:ascii="仿宋" w:hAnsi="仿宋" w:eastAsia="仿宋"/>
              <w:sz w:val="24"/>
            </w:rPr>
            <w:fldChar w:fldCharType="separate"/>
          </w:r>
          <w:r>
            <w:rPr>
              <w:rFonts w:ascii="仿宋" w:hAnsi="仿宋" w:eastAsia="仿宋"/>
              <w:sz w:val="24"/>
            </w:rPr>
            <w:t>39</w:t>
          </w:r>
          <w:r>
            <w:rPr>
              <w:rFonts w:ascii="仿宋" w:hAnsi="仿宋" w:eastAsia="仿宋"/>
              <w:sz w:val="24"/>
            </w:rPr>
            <w:fldChar w:fldCharType="end"/>
          </w:r>
          <w:r>
            <w:rPr>
              <w:rFonts w:ascii="仿宋" w:hAnsi="仿宋" w:eastAsia="仿宋"/>
              <w:sz w:val="24"/>
            </w:rPr>
            <w:fldChar w:fldCharType="end"/>
          </w:r>
        </w:p>
        <w:p>
          <w:pPr>
            <w:pStyle w:val="14"/>
            <w:rPr>
              <w:rFonts w:ascii="仿宋" w:hAnsi="仿宋" w:eastAsia="仿宋"/>
              <w:sz w:val="24"/>
            </w:rPr>
          </w:pPr>
          <w:r>
            <w:fldChar w:fldCharType="begin"/>
          </w:r>
          <w:r>
            <w:instrText xml:space="preserve"> HYPERLINK \l "_Toc148972687" </w:instrText>
          </w:r>
          <w:r>
            <w:fldChar w:fldCharType="separate"/>
          </w:r>
          <w:r>
            <w:rPr>
              <w:rFonts w:ascii="仿宋" w:hAnsi="仿宋" w:eastAsia="仿宋"/>
              <w:sz w:val="24"/>
            </w:rPr>
            <w:t>七、一般公共预算财政拨款支出决算明细表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_Toc148972687 \h </w:instrText>
          </w:r>
          <w:r>
            <w:rPr>
              <w:rFonts w:ascii="仿宋" w:hAnsi="仿宋" w:eastAsia="仿宋"/>
              <w:sz w:val="24"/>
            </w:rPr>
            <w:fldChar w:fldCharType="separate"/>
          </w:r>
          <w:r>
            <w:rPr>
              <w:rFonts w:ascii="仿宋" w:hAnsi="仿宋" w:eastAsia="仿宋"/>
              <w:sz w:val="24"/>
            </w:rPr>
            <w:t>39</w:t>
          </w:r>
          <w:r>
            <w:rPr>
              <w:rFonts w:ascii="仿宋" w:hAnsi="仿宋" w:eastAsia="仿宋"/>
              <w:sz w:val="24"/>
            </w:rPr>
            <w:fldChar w:fldCharType="end"/>
          </w:r>
          <w:r>
            <w:rPr>
              <w:rFonts w:ascii="仿宋" w:hAnsi="仿宋" w:eastAsia="仿宋"/>
              <w:sz w:val="24"/>
            </w:rPr>
            <w:fldChar w:fldCharType="end"/>
          </w:r>
        </w:p>
        <w:p>
          <w:pPr>
            <w:pStyle w:val="14"/>
            <w:rPr>
              <w:rFonts w:ascii="仿宋" w:hAnsi="仿宋" w:eastAsia="仿宋"/>
              <w:sz w:val="24"/>
            </w:rPr>
          </w:pPr>
          <w:r>
            <w:fldChar w:fldCharType="begin"/>
          </w:r>
          <w:r>
            <w:instrText xml:space="preserve"> HYPERLINK \l "_Toc148972688" </w:instrText>
          </w:r>
          <w:r>
            <w:fldChar w:fldCharType="separate"/>
          </w:r>
          <w:r>
            <w:rPr>
              <w:rFonts w:ascii="仿宋" w:hAnsi="仿宋" w:eastAsia="仿宋"/>
              <w:sz w:val="24"/>
            </w:rPr>
            <w:t>八、一般公共预算财政拨款基本支出决算表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_Toc148972688 \h </w:instrText>
          </w:r>
          <w:r>
            <w:rPr>
              <w:rFonts w:ascii="仿宋" w:hAnsi="仿宋" w:eastAsia="仿宋"/>
              <w:sz w:val="24"/>
            </w:rPr>
            <w:fldChar w:fldCharType="separate"/>
          </w:r>
          <w:r>
            <w:rPr>
              <w:rFonts w:ascii="仿宋" w:hAnsi="仿宋" w:eastAsia="仿宋"/>
              <w:sz w:val="24"/>
            </w:rPr>
            <w:t>39</w:t>
          </w:r>
          <w:r>
            <w:rPr>
              <w:rFonts w:ascii="仿宋" w:hAnsi="仿宋" w:eastAsia="仿宋"/>
              <w:sz w:val="24"/>
            </w:rPr>
            <w:fldChar w:fldCharType="end"/>
          </w:r>
          <w:r>
            <w:rPr>
              <w:rFonts w:ascii="仿宋" w:hAnsi="仿宋" w:eastAsia="仿宋"/>
              <w:sz w:val="24"/>
            </w:rPr>
            <w:fldChar w:fldCharType="end"/>
          </w:r>
        </w:p>
        <w:p>
          <w:pPr>
            <w:pStyle w:val="14"/>
            <w:rPr>
              <w:rFonts w:ascii="仿宋" w:hAnsi="仿宋" w:eastAsia="仿宋"/>
              <w:sz w:val="24"/>
            </w:rPr>
          </w:pPr>
          <w:r>
            <w:fldChar w:fldCharType="begin"/>
          </w:r>
          <w:r>
            <w:instrText xml:space="preserve"> HYPERLINK \l "_Toc148972689" </w:instrText>
          </w:r>
          <w:r>
            <w:fldChar w:fldCharType="separate"/>
          </w:r>
          <w:r>
            <w:rPr>
              <w:rFonts w:ascii="仿宋" w:hAnsi="仿宋" w:eastAsia="仿宋"/>
              <w:sz w:val="24"/>
            </w:rPr>
            <w:t>九、一般公共预算财政拨款项目支出决算表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_Toc148972689 \h </w:instrText>
          </w:r>
          <w:r>
            <w:rPr>
              <w:rFonts w:ascii="仿宋" w:hAnsi="仿宋" w:eastAsia="仿宋"/>
              <w:sz w:val="24"/>
            </w:rPr>
            <w:fldChar w:fldCharType="separate"/>
          </w:r>
          <w:r>
            <w:rPr>
              <w:rFonts w:ascii="仿宋" w:hAnsi="仿宋" w:eastAsia="仿宋"/>
              <w:sz w:val="24"/>
            </w:rPr>
            <w:t>39</w:t>
          </w:r>
          <w:r>
            <w:rPr>
              <w:rFonts w:ascii="仿宋" w:hAnsi="仿宋" w:eastAsia="仿宋"/>
              <w:sz w:val="24"/>
            </w:rPr>
            <w:fldChar w:fldCharType="end"/>
          </w:r>
          <w:r>
            <w:rPr>
              <w:rFonts w:ascii="仿宋" w:hAnsi="仿宋" w:eastAsia="仿宋"/>
              <w:sz w:val="24"/>
            </w:rPr>
            <w:fldChar w:fldCharType="end"/>
          </w:r>
        </w:p>
        <w:p>
          <w:pPr>
            <w:pStyle w:val="14"/>
            <w:rPr>
              <w:rFonts w:ascii="仿宋" w:hAnsi="仿宋" w:eastAsia="仿宋"/>
              <w:sz w:val="24"/>
            </w:rPr>
          </w:pPr>
          <w:r>
            <w:fldChar w:fldCharType="begin"/>
          </w:r>
          <w:r>
            <w:instrText xml:space="preserve"> HYPERLINK \l "_Toc148972690" </w:instrText>
          </w:r>
          <w:r>
            <w:fldChar w:fldCharType="separate"/>
          </w:r>
          <w:r>
            <w:rPr>
              <w:rFonts w:ascii="仿宋" w:hAnsi="仿宋" w:eastAsia="仿宋"/>
              <w:sz w:val="24"/>
            </w:rPr>
            <w:t>十、政府性基金预算财政拨款收入支出决算表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_Toc148972690 \h </w:instrText>
          </w:r>
          <w:r>
            <w:rPr>
              <w:rFonts w:ascii="仿宋" w:hAnsi="仿宋" w:eastAsia="仿宋"/>
              <w:sz w:val="24"/>
            </w:rPr>
            <w:fldChar w:fldCharType="separate"/>
          </w:r>
          <w:r>
            <w:rPr>
              <w:rFonts w:ascii="仿宋" w:hAnsi="仿宋" w:eastAsia="仿宋"/>
              <w:sz w:val="24"/>
            </w:rPr>
            <w:t>39</w:t>
          </w:r>
          <w:r>
            <w:rPr>
              <w:rFonts w:ascii="仿宋" w:hAnsi="仿宋" w:eastAsia="仿宋"/>
              <w:sz w:val="24"/>
            </w:rPr>
            <w:fldChar w:fldCharType="end"/>
          </w:r>
          <w:r>
            <w:rPr>
              <w:rFonts w:ascii="仿宋" w:hAnsi="仿宋" w:eastAsia="仿宋"/>
              <w:sz w:val="24"/>
            </w:rPr>
            <w:fldChar w:fldCharType="end"/>
          </w:r>
        </w:p>
        <w:p>
          <w:pPr>
            <w:pStyle w:val="14"/>
            <w:rPr>
              <w:rFonts w:ascii="仿宋" w:hAnsi="仿宋" w:eastAsia="仿宋"/>
              <w:sz w:val="24"/>
            </w:rPr>
          </w:pPr>
          <w:r>
            <w:fldChar w:fldCharType="begin"/>
          </w:r>
          <w:r>
            <w:instrText xml:space="preserve"> HYPERLINK \l "_Toc148972691" </w:instrText>
          </w:r>
          <w:r>
            <w:fldChar w:fldCharType="separate"/>
          </w:r>
          <w:r>
            <w:rPr>
              <w:rFonts w:ascii="仿宋" w:hAnsi="仿宋" w:eastAsia="仿宋"/>
              <w:sz w:val="24"/>
            </w:rPr>
            <w:t>十一、国有资本经营预算财政拨款收入支出决算表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_Toc148972691 \h </w:instrText>
          </w:r>
          <w:r>
            <w:rPr>
              <w:rFonts w:ascii="仿宋" w:hAnsi="仿宋" w:eastAsia="仿宋"/>
              <w:sz w:val="24"/>
            </w:rPr>
            <w:fldChar w:fldCharType="separate"/>
          </w:r>
          <w:r>
            <w:rPr>
              <w:rFonts w:ascii="仿宋" w:hAnsi="仿宋" w:eastAsia="仿宋"/>
              <w:sz w:val="24"/>
            </w:rPr>
            <w:t>39</w:t>
          </w:r>
          <w:r>
            <w:rPr>
              <w:rFonts w:ascii="仿宋" w:hAnsi="仿宋" w:eastAsia="仿宋"/>
              <w:sz w:val="24"/>
            </w:rPr>
            <w:fldChar w:fldCharType="end"/>
          </w:r>
          <w:r>
            <w:rPr>
              <w:rFonts w:ascii="仿宋" w:hAnsi="仿宋" w:eastAsia="仿宋"/>
              <w:sz w:val="24"/>
            </w:rPr>
            <w:fldChar w:fldCharType="end"/>
          </w:r>
        </w:p>
        <w:p>
          <w:pPr>
            <w:pStyle w:val="14"/>
            <w:rPr>
              <w:rFonts w:ascii="仿宋" w:hAnsi="仿宋" w:eastAsia="仿宋"/>
              <w:sz w:val="24"/>
            </w:rPr>
          </w:pPr>
          <w:r>
            <w:fldChar w:fldCharType="begin"/>
          </w:r>
          <w:r>
            <w:instrText xml:space="preserve"> HYPERLINK \l "_Toc148972692" </w:instrText>
          </w:r>
          <w:r>
            <w:fldChar w:fldCharType="separate"/>
          </w:r>
          <w:r>
            <w:rPr>
              <w:rFonts w:ascii="仿宋" w:hAnsi="仿宋" w:eastAsia="仿宋"/>
              <w:sz w:val="24"/>
            </w:rPr>
            <w:t>十二、国有资本经营预算财政拨款支出决算表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_Toc148972692 \h </w:instrText>
          </w:r>
          <w:r>
            <w:rPr>
              <w:rFonts w:ascii="仿宋" w:hAnsi="仿宋" w:eastAsia="仿宋"/>
              <w:sz w:val="24"/>
            </w:rPr>
            <w:fldChar w:fldCharType="separate"/>
          </w:r>
          <w:r>
            <w:rPr>
              <w:rFonts w:ascii="仿宋" w:hAnsi="仿宋" w:eastAsia="仿宋"/>
              <w:sz w:val="24"/>
            </w:rPr>
            <w:t>39</w:t>
          </w:r>
          <w:r>
            <w:rPr>
              <w:rFonts w:ascii="仿宋" w:hAnsi="仿宋" w:eastAsia="仿宋"/>
              <w:sz w:val="24"/>
            </w:rPr>
            <w:fldChar w:fldCharType="end"/>
          </w:r>
          <w:r>
            <w:rPr>
              <w:rFonts w:ascii="仿宋" w:hAnsi="仿宋" w:eastAsia="仿宋"/>
              <w:sz w:val="24"/>
            </w:rPr>
            <w:fldChar w:fldCharType="end"/>
          </w:r>
        </w:p>
        <w:p>
          <w:pPr>
            <w:pStyle w:val="14"/>
            <w:rPr>
              <w:rFonts w:ascii="仿宋" w:hAnsi="仿宋" w:eastAsia="仿宋"/>
              <w:sz w:val="24"/>
            </w:rPr>
          </w:pPr>
          <w:r>
            <w:fldChar w:fldCharType="begin"/>
          </w:r>
          <w:r>
            <w:instrText xml:space="preserve"> HYPERLINK \l "_Toc148972693" </w:instrText>
          </w:r>
          <w:r>
            <w:fldChar w:fldCharType="separate"/>
          </w:r>
          <w:r>
            <w:rPr>
              <w:rFonts w:ascii="仿宋" w:hAnsi="仿宋" w:eastAsia="仿宋"/>
              <w:sz w:val="24"/>
            </w:rPr>
            <w:t>十三、财政拨款“三公”经费支出决算表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_Toc148972693 \h </w:instrText>
          </w:r>
          <w:r>
            <w:rPr>
              <w:rFonts w:ascii="仿宋" w:hAnsi="仿宋" w:eastAsia="仿宋"/>
              <w:sz w:val="24"/>
            </w:rPr>
            <w:fldChar w:fldCharType="separate"/>
          </w:r>
          <w:r>
            <w:rPr>
              <w:rFonts w:ascii="仿宋" w:hAnsi="仿宋" w:eastAsia="仿宋"/>
              <w:sz w:val="24"/>
            </w:rPr>
            <w:t>39</w:t>
          </w:r>
          <w:r>
            <w:rPr>
              <w:rFonts w:ascii="仿宋" w:hAnsi="仿宋" w:eastAsia="仿宋"/>
              <w:sz w:val="24"/>
            </w:rPr>
            <w:fldChar w:fldCharType="end"/>
          </w:r>
          <w:r>
            <w:rPr>
              <w:rFonts w:ascii="仿宋" w:hAnsi="仿宋" w:eastAsia="仿宋"/>
              <w:sz w:val="24"/>
            </w:rPr>
            <w:fldChar w:fldCharType="end"/>
          </w:r>
        </w:p>
        <w:p>
          <w:r>
            <w:rPr>
              <w:b/>
              <w:bCs/>
              <w:lang w:val="zh-CN"/>
            </w:rPr>
            <w:fldChar w:fldCharType="end"/>
          </w:r>
        </w:p>
      </w:sdtContent>
    </w:sdt>
    <w:p>
      <w:pPr>
        <w:pStyle w:val="14"/>
        <w:adjustRightInd w:val="0"/>
        <w:snapToGrid w:val="0"/>
        <w:spacing w:line="440" w:lineRule="exact"/>
        <w:jc w:val="left"/>
      </w:pPr>
      <w:r>
        <w:br w:type="page"/>
      </w:r>
    </w:p>
    <w:p>
      <w:pPr>
        <w:pStyle w:val="2"/>
        <w:ind w:firstLine="2200" w:firstLineChars="500"/>
        <w:rPr>
          <w:rStyle w:val="26"/>
          <w:rFonts w:eastAsia="黑体"/>
          <w:b/>
          <w:bCs w:val="0"/>
        </w:rPr>
      </w:pPr>
      <w:bookmarkStart w:id="35" w:name="_Toc148972662"/>
      <w:r>
        <w:rPr>
          <w:rFonts w:eastAsia="黑体"/>
          <w:b w:val="0"/>
        </w:rPr>
        <w:t>第一部分</w:t>
      </w:r>
      <w:r>
        <w:rPr>
          <w:rStyle w:val="26"/>
          <w:rFonts w:eastAsia="黑体"/>
          <w:b w:val="0"/>
          <w:bCs w:val="0"/>
        </w:rPr>
        <w:t>单位概况</w:t>
      </w:r>
      <w:bookmarkEnd w:id="31"/>
      <w:bookmarkEnd w:id="32"/>
      <w:bookmarkEnd w:id="33"/>
      <w:bookmarkEnd w:id="34"/>
      <w:bookmarkEnd w:id="35"/>
    </w:p>
    <w:p>
      <w:pPr>
        <w:pStyle w:val="3"/>
        <w:ind w:firstLine="140" w:firstLineChars="44"/>
        <w:rPr>
          <w:rStyle w:val="35"/>
          <w:rFonts w:ascii="黑体" w:hAnsi="黑体" w:eastAsia="黑体"/>
          <w:b/>
          <w:bCs/>
        </w:rPr>
      </w:pPr>
      <w:bookmarkStart w:id="36" w:name="_Toc113474477"/>
      <w:bookmarkStart w:id="37" w:name="_Toc17919"/>
      <w:bookmarkStart w:id="38" w:name="_Toc15396600"/>
      <w:bookmarkStart w:id="39" w:name="_Toc15377197"/>
      <w:bookmarkStart w:id="40" w:name="_Toc148972663"/>
      <w:r>
        <w:rPr>
          <w:rFonts w:ascii="Times New Roman" w:hAnsi="Times New Roman" w:eastAsia="黑体"/>
          <w:b w:val="0"/>
          <w:color w:val="000000"/>
        </w:rPr>
        <w:t>一、</w:t>
      </w:r>
      <w:bookmarkEnd w:id="36"/>
      <w:bookmarkEnd w:id="37"/>
      <w:bookmarkEnd w:id="38"/>
      <w:bookmarkEnd w:id="39"/>
      <w:bookmarkStart w:id="41" w:name="_Toc15377198"/>
      <w:bookmarkStart w:id="42" w:name="_Toc15378445"/>
      <w:bookmarkStart w:id="43" w:name="_Toc15377204"/>
      <w:bookmarkStart w:id="44" w:name="_Toc15396602"/>
      <w:r>
        <w:rPr>
          <w:rFonts w:hint="eastAsia" w:ascii="Times New Roman" w:hAnsi="Times New Roman" w:eastAsia="黑体"/>
          <w:b w:val="0"/>
          <w:color w:val="000000"/>
        </w:rPr>
        <w:t>单位职责</w:t>
      </w:r>
      <w:bookmarkEnd w:id="40"/>
    </w:p>
    <w:bookmarkEnd w:id="41"/>
    <w:bookmarkEnd w:id="42"/>
    <w:p>
      <w:pPr>
        <w:spacing w:line="600" w:lineRule="exact"/>
        <w:ind w:firstLine="640" w:firstLineChars="200"/>
        <w:rPr>
          <w:rFonts w:ascii="仿宋" w:eastAsia="仿宋"/>
          <w:bCs/>
          <w:color w:val="000000"/>
          <w:sz w:val="32"/>
          <w:szCs w:val="32"/>
        </w:rPr>
      </w:pPr>
      <w:r>
        <w:rPr>
          <w:rFonts w:hint="eastAsia" w:ascii="仿宋" w:eastAsia="仿宋"/>
          <w:bCs/>
          <w:color w:val="000000"/>
          <w:sz w:val="32"/>
          <w:szCs w:val="32"/>
        </w:rPr>
        <w:t>主要职能。实施九年义务教育初中，小学阶段的义务教育，促进基础教育发展。</w:t>
      </w:r>
    </w:p>
    <w:p>
      <w:pPr>
        <w:spacing w:line="600" w:lineRule="exact"/>
        <w:rPr>
          <w:rFonts w:ascii="仿宋" w:eastAsia="仿宋"/>
          <w:bCs/>
          <w:color w:val="000000"/>
          <w:sz w:val="32"/>
          <w:szCs w:val="32"/>
        </w:rPr>
      </w:pPr>
      <w:r>
        <w:rPr>
          <w:rFonts w:hint="eastAsia" w:ascii="仿宋" w:eastAsia="仿宋"/>
          <w:bCs/>
          <w:color w:val="000000"/>
          <w:sz w:val="32"/>
          <w:szCs w:val="32"/>
        </w:rPr>
        <w:t>（</w:t>
      </w:r>
      <w:r>
        <w:rPr>
          <w:rFonts w:ascii="仿宋" w:eastAsia="仿宋"/>
          <w:bCs/>
          <w:color w:val="000000"/>
          <w:sz w:val="32"/>
          <w:szCs w:val="32"/>
        </w:rPr>
        <w:t>1</w:t>
      </w:r>
      <w:r>
        <w:rPr>
          <w:rFonts w:hint="eastAsia" w:ascii="仿宋" w:eastAsia="仿宋"/>
          <w:bCs/>
          <w:color w:val="000000"/>
          <w:sz w:val="32"/>
          <w:szCs w:val="32"/>
        </w:rPr>
        <w:t>）宣传贯彻执行党和国家的教育方针、政策、法律法规等，坚持依法治教、依法治学，贯彻执行攀枝花市教育和体育局的行政规章制度。</w:t>
      </w:r>
    </w:p>
    <w:p>
      <w:pPr>
        <w:spacing w:line="600" w:lineRule="exact"/>
        <w:rPr>
          <w:rFonts w:ascii="仿宋" w:eastAsia="仿宋"/>
          <w:bCs/>
          <w:color w:val="000000"/>
          <w:sz w:val="32"/>
          <w:szCs w:val="32"/>
        </w:rPr>
      </w:pPr>
      <w:r>
        <w:rPr>
          <w:rFonts w:hint="eastAsia" w:ascii="仿宋" w:eastAsia="仿宋"/>
          <w:bCs/>
          <w:color w:val="000000"/>
          <w:sz w:val="32"/>
          <w:szCs w:val="32"/>
        </w:rPr>
        <w:t>（</w:t>
      </w:r>
      <w:r>
        <w:rPr>
          <w:rFonts w:ascii="仿宋" w:eastAsia="仿宋"/>
          <w:bCs/>
          <w:color w:val="000000"/>
          <w:sz w:val="32"/>
          <w:szCs w:val="32"/>
        </w:rPr>
        <w:t>2</w:t>
      </w:r>
      <w:r>
        <w:rPr>
          <w:rFonts w:hint="eastAsia" w:ascii="仿宋" w:eastAsia="仿宋"/>
          <w:bCs/>
          <w:color w:val="000000"/>
          <w:sz w:val="32"/>
          <w:szCs w:val="32"/>
        </w:rPr>
        <w:t>）配合攀枝花市教育和体育局制定符合党的教育方针和国家教育法律法规以及本校实际的教育发展规划和学校布局调整规划，并抓好组织实施和落实工作。</w:t>
      </w:r>
    </w:p>
    <w:p>
      <w:pPr>
        <w:pStyle w:val="5"/>
        <w:adjustRightInd w:val="0"/>
        <w:snapToGrid w:val="0"/>
        <w:spacing w:before="93" w:line="600" w:lineRule="exact"/>
        <w:outlineLvl w:val="2"/>
        <w:rPr>
          <w:rFonts w:ascii="仿宋" w:hAnsi="仿宋" w:eastAsia="仿宋"/>
          <w:bCs/>
          <w:color w:val="000000"/>
          <w:sz w:val="32"/>
          <w:szCs w:val="32"/>
        </w:rPr>
      </w:pPr>
      <w:r>
        <w:rPr>
          <w:rFonts w:hint="eastAsia" w:ascii="仿宋" w:eastAsia="仿宋"/>
          <w:bCs/>
          <w:color w:val="000000"/>
          <w:sz w:val="32"/>
          <w:szCs w:val="32"/>
        </w:rPr>
        <w:t>（</w:t>
      </w:r>
      <w:r>
        <w:rPr>
          <w:rFonts w:ascii="仿宋" w:eastAsia="仿宋"/>
          <w:bCs/>
          <w:color w:val="000000"/>
          <w:sz w:val="32"/>
          <w:szCs w:val="32"/>
        </w:rPr>
        <w:t>3</w:t>
      </w:r>
      <w:r>
        <w:rPr>
          <w:rFonts w:hint="eastAsia" w:ascii="仿宋" w:eastAsia="仿宋"/>
          <w:bCs/>
          <w:color w:val="000000"/>
          <w:sz w:val="32"/>
          <w:szCs w:val="32"/>
        </w:rPr>
        <w:t>）巩固提高“两基”工作成果和整体水平，配合各级人民政府依法动员、组织适龄儿童少年入学，严格控制辍学。负责抓所在乡镇的成人教育工作，抓好扫盲和巩固工作，推进普及义务教育。</w:t>
      </w:r>
    </w:p>
    <w:p>
      <w:pPr>
        <w:pStyle w:val="3"/>
        <w:rPr>
          <w:rStyle w:val="35"/>
          <w:b w:val="0"/>
          <w:bCs w:val="0"/>
        </w:rPr>
      </w:pPr>
      <w:bookmarkStart w:id="45" w:name="_Toc15396601"/>
      <w:bookmarkStart w:id="46" w:name="_Toc15377200"/>
      <w:bookmarkStart w:id="47" w:name="_Toc148972666"/>
      <w:r>
        <w:rPr>
          <w:rFonts w:hint="eastAsia" w:ascii="黑体" w:eastAsia="黑体"/>
          <w:b w:val="0"/>
          <w:color w:val="000000"/>
        </w:rPr>
        <w:t>二、</w:t>
      </w:r>
      <w:r>
        <w:rPr>
          <w:rFonts w:hint="eastAsia" w:ascii="黑体" w:hAnsi="黑体" w:eastAsia="黑体"/>
          <w:b w:val="0"/>
          <w:color w:val="000000"/>
        </w:rPr>
        <w:t>机</w:t>
      </w:r>
      <w:r>
        <w:rPr>
          <w:rStyle w:val="35"/>
          <w:rFonts w:hint="eastAsia" w:ascii="黑体" w:hAnsi="黑体" w:eastAsia="黑体"/>
          <w:b w:val="0"/>
          <w:bCs w:val="0"/>
        </w:rPr>
        <w:t>构设置</w:t>
      </w:r>
      <w:bookmarkEnd w:id="45"/>
      <w:bookmarkEnd w:id="46"/>
      <w:bookmarkEnd w:id="47"/>
    </w:p>
    <w:p>
      <w:pPr>
        <w:pStyle w:val="5"/>
        <w:adjustRightInd w:val="0"/>
        <w:snapToGrid w:val="0"/>
        <w:spacing w:before="93" w:line="600" w:lineRule="exact"/>
        <w:ind w:firstLine="672" w:firstLineChars="210"/>
        <w:rPr>
          <w:rFonts w:ascii="仿宋" w:eastAsia="仿宋"/>
          <w:bCs/>
          <w:color w:val="000000"/>
          <w:sz w:val="32"/>
          <w:szCs w:val="32"/>
        </w:rPr>
      </w:pPr>
      <w:r>
        <w:rPr>
          <w:rFonts w:hint="eastAsia" w:ascii="仿宋" w:eastAsia="仿宋"/>
          <w:bCs/>
          <w:color w:val="000000"/>
          <w:sz w:val="32"/>
          <w:szCs w:val="32"/>
        </w:rPr>
        <w:t>金江中小学共设教务、总务、德育、办公室、财务室5个职能部门。本年无机构变动情况。</w:t>
      </w:r>
    </w:p>
    <w:p>
      <w:pPr>
        <w:widowControl/>
        <w:jc w:val="left"/>
        <w:rPr>
          <w:rFonts w:ascii="仿宋" w:hAnsi="仿宋" w:eastAsia="仿宋"/>
          <w:sz w:val="32"/>
          <w:szCs w:val="32"/>
        </w:rPr>
      </w:pPr>
      <w:r>
        <w:rPr>
          <w:rFonts w:ascii="仿宋" w:hAnsi="仿宋" w:eastAsia="仿宋"/>
          <w:sz w:val="32"/>
          <w:szCs w:val="32"/>
        </w:rPr>
        <w:br w:type="page"/>
      </w:r>
    </w:p>
    <w:p>
      <w:pPr>
        <w:pStyle w:val="2"/>
        <w:rPr>
          <w:bCs w:val="0"/>
        </w:rPr>
      </w:pPr>
      <w:bookmarkStart w:id="48" w:name="_Toc148972667"/>
      <w:bookmarkStart w:id="49" w:name="_Toc113474479"/>
      <w:r>
        <w:rPr>
          <w:rFonts w:hint="eastAsia" w:eastAsia="黑体"/>
          <w:b w:val="0"/>
        </w:rPr>
        <w:t>第二部分</w:t>
      </w:r>
      <w:r>
        <w:rPr>
          <w:rFonts w:hint="eastAsia"/>
          <w:bCs w:val="0"/>
        </w:rPr>
        <w:t>2023年度单位决算情况说明</w:t>
      </w:r>
      <w:bookmarkEnd w:id="43"/>
      <w:bookmarkEnd w:id="44"/>
      <w:bookmarkEnd w:id="48"/>
      <w:bookmarkEnd w:id="49"/>
    </w:p>
    <w:p>
      <w:pPr>
        <w:pStyle w:val="41"/>
        <w:numPr>
          <w:ilvl w:val="0"/>
          <w:numId w:val="1"/>
        </w:numPr>
        <w:spacing w:line="600" w:lineRule="exact"/>
        <w:ind w:firstLineChars="0"/>
        <w:outlineLvl w:val="1"/>
        <w:rPr>
          <w:rStyle w:val="35"/>
          <w:rFonts w:ascii="黑体" w:hAnsi="黑体" w:eastAsia="黑体"/>
          <w:b w:val="0"/>
        </w:rPr>
      </w:pPr>
      <w:bookmarkStart w:id="50" w:name="_Toc148972668"/>
      <w:bookmarkStart w:id="51" w:name="_Toc113474480"/>
      <w:bookmarkStart w:id="52" w:name="_Toc15377205"/>
      <w:bookmarkStart w:id="53" w:name="_Toc15396603"/>
      <w:r>
        <w:rPr>
          <w:rFonts w:hint="eastAsia" w:ascii="黑体" w:hAnsi="黑体" w:eastAsia="黑体"/>
          <w:color w:val="000000"/>
          <w:szCs w:val="32"/>
        </w:rPr>
        <w:t>收</w:t>
      </w:r>
      <w:r>
        <w:rPr>
          <w:rStyle w:val="35"/>
          <w:rFonts w:hint="eastAsia" w:ascii="黑体" w:hAnsi="黑体" w:eastAsia="黑体"/>
        </w:rPr>
        <w:t>入支出决算总体情况说明</w:t>
      </w:r>
      <w:bookmarkEnd w:id="50"/>
      <w:bookmarkEnd w:id="51"/>
      <w:bookmarkEnd w:id="52"/>
      <w:bookmarkEnd w:id="53"/>
    </w:p>
    <w:p>
      <w:pPr>
        <w:autoSpaceDE w:val="0"/>
        <w:autoSpaceDN w:val="0"/>
        <w:ind w:firstLine="640" w:firstLineChars="200"/>
        <w:rPr>
          <w:rFonts w:ascii="仿宋" w:eastAsia="仿宋"/>
          <w:bCs/>
          <w:color w:val="000000"/>
          <w:kern w:val="0"/>
          <w:sz w:val="32"/>
          <w:szCs w:val="32"/>
        </w:rPr>
      </w:pPr>
      <w:r>
        <w:rPr>
          <w:rFonts w:hint="eastAsia" w:ascii="仿宋" w:eastAsia="仿宋"/>
          <w:bCs/>
          <w:color w:val="000000"/>
          <w:kern w:val="0"/>
          <w:sz w:val="32"/>
          <w:szCs w:val="32"/>
        </w:rPr>
        <w:drawing>
          <wp:anchor distT="0" distB="0" distL="114300" distR="114300" simplePos="0" relativeHeight="251660288" behindDoc="0" locked="0" layoutInCell="1" allowOverlap="1">
            <wp:simplePos x="0" y="0"/>
            <wp:positionH relativeFrom="margin">
              <wp:posOffset>628650</wp:posOffset>
            </wp:positionH>
            <wp:positionV relativeFrom="paragraph">
              <wp:posOffset>1380490</wp:posOffset>
            </wp:positionV>
            <wp:extent cx="3857625" cy="1885950"/>
            <wp:effectExtent l="19050" t="0" r="9525" b="0"/>
            <wp:wrapTopAndBottom/>
            <wp:docPr id="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bCs/>
          <w:color w:val="000000"/>
          <w:kern w:val="0"/>
          <w:sz w:val="32"/>
          <w:szCs w:val="32"/>
        </w:rPr>
        <w:t>202</w:t>
      </w:r>
      <w:r>
        <w:rPr>
          <w:rFonts w:hint="eastAsia" w:ascii="仿宋" w:eastAsia="仿宋"/>
          <w:bCs/>
          <w:color w:val="000000"/>
          <w:kern w:val="0"/>
          <w:sz w:val="32"/>
          <w:szCs w:val="32"/>
        </w:rPr>
        <w:t>3年度收、支总计2028.37万元。与</w:t>
      </w:r>
      <w:r>
        <w:rPr>
          <w:rFonts w:ascii="仿宋" w:eastAsia="仿宋"/>
          <w:bCs/>
          <w:color w:val="000000"/>
          <w:kern w:val="0"/>
          <w:sz w:val="32"/>
          <w:szCs w:val="32"/>
        </w:rPr>
        <w:t>202</w:t>
      </w:r>
      <w:r>
        <w:rPr>
          <w:rFonts w:hint="eastAsia" w:ascii="仿宋" w:eastAsia="仿宋"/>
          <w:bCs/>
          <w:color w:val="000000"/>
          <w:kern w:val="0"/>
          <w:sz w:val="32"/>
          <w:szCs w:val="32"/>
        </w:rPr>
        <w:t>2年相比，收、支总计各减少2.63万元，下降12.95%。主要变动原因是学生减少相关收支减少。</w:t>
      </w:r>
    </w:p>
    <w:p>
      <w:pPr>
        <w:pStyle w:val="41"/>
        <w:numPr>
          <w:ilvl w:val="0"/>
          <w:numId w:val="1"/>
        </w:numPr>
        <w:spacing w:line="600" w:lineRule="exact"/>
        <w:ind w:firstLineChars="0"/>
        <w:outlineLvl w:val="1"/>
        <w:rPr>
          <w:rStyle w:val="35"/>
          <w:rFonts w:ascii="黑体" w:hAnsi="黑体" w:eastAsia="黑体"/>
          <w:b w:val="0"/>
        </w:rPr>
      </w:pPr>
      <w:bookmarkStart w:id="54" w:name="_Toc15377206"/>
      <w:bookmarkStart w:id="55" w:name="_Toc148972669"/>
      <w:bookmarkStart w:id="56" w:name="_Toc113474481"/>
      <w:bookmarkStart w:id="57" w:name="_Toc15396604"/>
      <w:r>
        <w:rPr>
          <w:rFonts w:hint="eastAsia" w:ascii="黑体" w:hAnsi="黑体" w:eastAsia="黑体"/>
          <w:color w:val="000000"/>
          <w:szCs w:val="32"/>
        </w:rPr>
        <w:t>收</w:t>
      </w:r>
      <w:r>
        <w:rPr>
          <w:rStyle w:val="35"/>
          <w:rFonts w:hint="eastAsia" w:ascii="黑体" w:hAnsi="黑体" w:eastAsia="黑体"/>
        </w:rPr>
        <w:t>入决算情况说明</w:t>
      </w:r>
      <w:bookmarkEnd w:id="54"/>
      <w:bookmarkEnd w:id="55"/>
      <w:bookmarkEnd w:id="56"/>
      <w:bookmarkEnd w:id="57"/>
    </w:p>
    <w:p>
      <w:pPr>
        <w:autoSpaceDE w:val="0"/>
        <w:autoSpaceDN w:val="0"/>
        <w:ind w:firstLine="640" w:firstLineChars="200"/>
        <w:rPr>
          <w:rFonts w:ascii="仿宋" w:eastAsia="仿宋"/>
          <w:bCs/>
          <w:color w:val="000000"/>
          <w:kern w:val="0"/>
          <w:sz w:val="32"/>
          <w:szCs w:val="32"/>
        </w:rPr>
      </w:pPr>
      <w:r>
        <w:rPr>
          <w:rFonts w:ascii="仿宋" w:eastAsia="仿宋"/>
          <w:bCs/>
          <w:color w:val="000000"/>
          <w:kern w:val="0"/>
          <w:sz w:val="32"/>
          <w:szCs w:val="32"/>
        </w:rPr>
        <w:drawing>
          <wp:anchor distT="0" distB="0" distL="114300" distR="114300" simplePos="0" relativeHeight="251659264" behindDoc="0" locked="0" layoutInCell="1" allowOverlap="1">
            <wp:simplePos x="0" y="0"/>
            <wp:positionH relativeFrom="margin">
              <wp:posOffset>628650</wp:posOffset>
            </wp:positionH>
            <wp:positionV relativeFrom="paragraph">
              <wp:posOffset>2440305</wp:posOffset>
            </wp:positionV>
            <wp:extent cx="3954780" cy="1581150"/>
            <wp:effectExtent l="19050" t="0" r="26670" b="0"/>
            <wp:wrapTopAndBottom/>
            <wp:docPr id="16" name="对象 16"/>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eastAsia="仿宋"/>
          <w:bCs/>
          <w:color w:val="000000"/>
          <w:kern w:val="0"/>
          <w:sz w:val="32"/>
          <w:szCs w:val="32"/>
        </w:rPr>
        <w:t>202</w:t>
      </w:r>
      <w:r>
        <w:rPr>
          <w:rFonts w:hint="eastAsia" w:ascii="仿宋" w:eastAsia="仿宋"/>
          <w:bCs/>
          <w:color w:val="000000"/>
          <w:kern w:val="0"/>
          <w:sz w:val="32"/>
          <w:szCs w:val="32"/>
        </w:rPr>
        <w:t>3年本年收入合计2028.37万元，其中：一般公共预算财政拨款收入2002.88万元，占98.74%；政府性基金预算财政拨款收入</w:t>
      </w:r>
      <w:r>
        <w:rPr>
          <w:rFonts w:ascii="仿宋" w:eastAsia="仿宋"/>
          <w:bCs/>
          <w:color w:val="000000"/>
          <w:kern w:val="0"/>
          <w:sz w:val="32"/>
          <w:szCs w:val="32"/>
        </w:rPr>
        <w:t>0</w:t>
      </w:r>
      <w:r>
        <w:rPr>
          <w:rFonts w:hint="eastAsia" w:ascii="仿宋" w:eastAsia="仿宋"/>
          <w:bCs/>
          <w:color w:val="000000"/>
          <w:kern w:val="0"/>
          <w:sz w:val="32"/>
          <w:szCs w:val="32"/>
        </w:rPr>
        <w:t>万元，占</w:t>
      </w:r>
      <w:r>
        <w:rPr>
          <w:rFonts w:ascii="仿宋" w:eastAsia="仿宋"/>
          <w:bCs/>
          <w:color w:val="000000"/>
          <w:kern w:val="0"/>
          <w:sz w:val="32"/>
          <w:szCs w:val="32"/>
        </w:rPr>
        <w:t>0%</w:t>
      </w:r>
      <w:r>
        <w:rPr>
          <w:rFonts w:hint="eastAsia" w:ascii="仿宋" w:eastAsia="仿宋"/>
          <w:bCs/>
          <w:color w:val="000000"/>
          <w:kern w:val="0"/>
          <w:sz w:val="32"/>
          <w:szCs w:val="32"/>
        </w:rPr>
        <w:t>；国有资本经营预算财政拨款收入</w:t>
      </w:r>
      <w:r>
        <w:rPr>
          <w:rFonts w:ascii="仿宋" w:eastAsia="仿宋"/>
          <w:bCs/>
          <w:color w:val="000000"/>
          <w:kern w:val="0"/>
          <w:sz w:val="32"/>
          <w:szCs w:val="32"/>
        </w:rPr>
        <w:t>0</w:t>
      </w:r>
      <w:r>
        <w:rPr>
          <w:rFonts w:hint="eastAsia" w:ascii="仿宋" w:eastAsia="仿宋"/>
          <w:bCs/>
          <w:color w:val="000000"/>
          <w:kern w:val="0"/>
          <w:sz w:val="32"/>
          <w:szCs w:val="32"/>
        </w:rPr>
        <w:t>万元，占</w:t>
      </w:r>
      <w:r>
        <w:rPr>
          <w:rFonts w:ascii="仿宋" w:eastAsia="仿宋"/>
          <w:bCs/>
          <w:color w:val="000000"/>
          <w:kern w:val="0"/>
          <w:sz w:val="32"/>
          <w:szCs w:val="32"/>
        </w:rPr>
        <w:t>0%</w:t>
      </w:r>
      <w:r>
        <w:rPr>
          <w:rFonts w:hint="eastAsia" w:ascii="仿宋" w:eastAsia="仿宋"/>
          <w:bCs/>
          <w:color w:val="000000"/>
          <w:kern w:val="0"/>
          <w:sz w:val="32"/>
          <w:szCs w:val="32"/>
        </w:rPr>
        <w:t>；上级补助收入</w:t>
      </w:r>
      <w:r>
        <w:rPr>
          <w:rFonts w:ascii="仿宋" w:eastAsia="仿宋"/>
          <w:bCs/>
          <w:color w:val="000000"/>
          <w:kern w:val="0"/>
          <w:sz w:val="32"/>
          <w:szCs w:val="32"/>
        </w:rPr>
        <w:t>0</w:t>
      </w:r>
      <w:r>
        <w:rPr>
          <w:rFonts w:hint="eastAsia" w:ascii="仿宋" w:eastAsia="仿宋"/>
          <w:bCs/>
          <w:color w:val="000000"/>
          <w:kern w:val="0"/>
          <w:sz w:val="32"/>
          <w:szCs w:val="32"/>
        </w:rPr>
        <w:t>万元，占</w:t>
      </w:r>
      <w:r>
        <w:rPr>
          <w:rFonts w:ascii="仿宋" w:eastAsia="仿宋"/>
          <w:bCs/>
          <w:color w:val="000000"/>
          <w:kern w:val="0"/>
          <w:sz w:val="32"/>
          <w:szCs w:val="32"/>
        </w:rPr>
        <w:t>0%</w:t>
      </w:r>
      <w:r>
        <w:rPr>
          <w:rFonts w:hint="eastAsia" w:ascii="仿宋" w:eastAsia="仿宋"/>
          <w:bCs/>
          <w:color w:val="000000"/>
          <w:kern w:val="0"/>
          <w:sz w:val="32"/>
          <w:szCs w:val="32"/>
        </w:rPr>
        <w:t>；事业收入</w:t>
      </w:r>
      <w:r>
        <w:rPr>
          <w:rFonts w:ascii="仿宋" w:eastAsia="仿宋"/>
          <w:bCs/>
          <w:color w:val="000000"/>
          <w:kern w:val="0"/>
          <w:sz w:val="32"/>
          <w:szCs w:val="32"/>
        </w:rPr>
        <w:t>0</w:t>
      </w:r>
      <w:r>
        <w:rPr>
          <w:rFonts w:hint="eastAsia" w:ascii="仿宋" w:eastAsia="仿宋"/>
          <w:bCs/>
          <w:color w:val="000000"/>
          <w:kern w:val="0"/>
          <w:sz w:val="32"/>
          <w:szCs w:val="32"/>
        </w:rPr>
        <w:t>万元，占</w:t>
      </w:r>
      <w:r>
        <w:rPr>
          <w:rFonts w:ascii="仿宋" w:eastAsia="仿宋"/>
          <w:bCs/>
          <w:color w:val="000000"/>
          <w:kern w:val="0"/>
          <w:sz w:val="32"/>
          <w:szCs w:val="32"/>
        </w:rPr>
        <w:t>0%</w:t>
      </w:r>
      <w:r>
        <w:rPr>
          <w:rFonts w:hint="eastAsia" w:ascii="仿宋" w:eastAsia="仿宋"/>
          <w:bCs/>
          <w:color w:val="000000"/>
          <w:kern w:val="0"/>
          <w:sz w:val="32"/>
          <w:szCs w:val="32"/>
        </w:rPr>
        <w:t>；经营收入</w:t>
      </w:r>
      <w:r>
        <w:rPr>
          <w:rFonts w:ascii="仿宋" w:eastAsia="仿宋"/>
          <w:bCs/>
          <w:color w:val="000000"/>
          <w:kern w:val="0"/>
          <w:sz w:val="32"/>
          <w:szCs w:val="32"/>
        </w:rPr>
        <w:t>0</w:t>
      </w:r>
      <w:r>
        <w:rPr>
          <w:rFonts w:hint="eastAsia" w:ascii="仿宋" w:eastAsia="仿宋"/>
          <w:bCs/>
          <w:color w:val="000000"/>
          <w:kern w:val="0"/>
          <w:sz w:val="32"/>
          <w:szCs w:val="32"/>
        </w:rPr>
        <w:t>万元，占</w:t>
      </w:r>
      <w:r>
        <w:rPr>
          <w:rFonts w:ascii="仿宋" w:eastAsia="仿宋"/>
          <w:bCs/>
          <w:color w:val="000000"/>
          <w:kern w:val="0"/>
          <w:sz w:val="32"/>
          <w:szCs w:val="32"/>
        </w:rPr>
        <w:t>0%</w:t>
      </w:r>
      <w:r>
        <w:rPr>
          <w:rFonts w:hint="eastAsia" w:ascii="仿宋" w:eastAsia="仿宋"/>
          <w:bCs/>
          <w:color w:val="000000"/>
          <w:kern w:val="0"/>
          <w:sz w:val="32"/>
          <w:szCs w:val="32"/>
        </w:rPr>
        <w:t>；附属单位上缴收入</w:t>
      </w:r>
      <w:r>
        <w:rPr>
          <w:rFonts w:ascii="仿宋" w:eastAsia="仿宋"/>
          <w:bCs/>
          <w:color w:val="000000"/>
          <w:kern w:val="0"/>
          <w:sz w:val="32"/>
          <w:szCs w:val="32"/>
        </w:rPr>
        <w:t>0</w:t>
      </w:r>
      <w:r>
        <w:rPr>
          <w:rFonts w:hint="eastAsia" w:ascii="仿宋" w:eastAsia="仿宋"/>
          <w:bCs/>
          <w:color w:val="000000"/>
          <w:kern w:val="0"/>
          <w:sz w:val="32"/>
          <w:szCs w:val="32"/>
        </w:rPr>
        <w:t>万元，占</w:t>
      </w:r>
      <w:r>
        <w:rPr>
          <w:rFonts w:ascii="仿宋" w:eastAsia="仿宋"/>
          <w:bCs/>
          <w:color w:val="000000"/>
          <w:kern w:val="0"/>
          <w:sz w:val="32"/>
          <w:szCs w:val="32"/>
        </w:rPr>
        <w:t>0%</w:t>
      </w:r>
      <w:r>
        <w:rPr>
          <w:rFonts w:hint="eastAsia" w:ascii="仿宋" w:eastAsia="仿宋"/>
          <w:bCs/>
          <w:color w:val="000000"/>
          <w:kern w:val="0"/>
          <w:sz w:val="32"/>
          <w:szCs w:val="32"/>
        </w:rPr>
        <w:t>；其他收入25.49万元，占1.26%。</w:t>
      </w:r>
    </w:p>
    <w:p>
      <w:pPr>
        <w:pStyle w:val="41"/>
        <w:numPr>
          <w:ilvl w:val="0"/>
          <w:numId w:val="1"/>
        </w:numPr>
        <w:spacing w:line="600" w:lineRule="exact"/>
        <w:ind w:firstLineChars="0"/>
        <w:outlineLvl w:val="1"/>
        <w:rPr>
          <w:rStyle w:val="35"/>
          <w:rFonts w:ascii="黑体" w:hAnsi="黑体" w:eastAsia="黑体"/>
          <w:b w:val="0"/>
        </w:rPr>
      </w:pPr>
      <w:bookmarkStart w:id="58" w:name="_Toc15396605"/>
      <w:bookmarkStart w:id="59" w:name="_Toc15377207"/>
      <w:bookmarkStart w:id="60" w:name="_Toc148972670"/>
      <w:bookmarkStart w:id="61" w:name="_Toc113474482"/>
      <w:r>
        <w:rPr>
          <w:rFonts w:hint="eastAsia" w:ascii="黑体" w:hAnsi="黑体" w:eastAsia="黑体"/>
          <w:color w:val="000000"/>
          <w:szCs w:val="32"/>
        </w:rPr>
        <w:t>支</w:t>
      </w:r>
      <w:r>
        <w:rPr>
          <w:rStyle w:val="35"/>
          <w:rFonts w:hint="eastAsia" w:ascii="黑体" w:hAnsi="黑体" w:eastAsia="黑体"/>
        </w:rPr>
        <w:t>出决算情况说明</w:t>
      </w:r>
      <w:bookmarkEnd w:id="58"/>
      <w:bookmarkEnd w:id="59"/>
      <w:bookmarkEnd w:id="60"/>
      <w:bookmarkEnd w:id="61"/>
    </w:p>
    <w:p>
      <w:pPr>
        <w:autoSpaceDE w:val="0"/>
        <w:autoSpaceDN w:val="0"/>
        <w:ind w:firstLine="640" w:firstLineChars="200"/>
        <w:rPr>
          <w:rFonts w:ascii="仿宋" w:eastAsia="仿宋"/>
          <w:bCs/>
          <w:color w:val="000000"/>
          <w:kern w:val="0"/>
          <w:sz w:val="32"/>
          <w:szCs w:val="32"/>
        </w:rPr>
      </w:pPr>
      <w:r>
        <w:rPr>
          <w:rFonts w:ascii="仿宋" w:eastAsia="仿宋"/>
          <w:bCs/>
          <w:color w:val="000000"/>
          <w:kern w:val="0"/>
          <w:sz w:val="32"/>
          <w:szCs w:val="32"/>
        </w:rPr>
        <w:drawing>
          <wp:anchor distT="0" distB="635" distL="114300" distR="114300" simplePos="0" relativeHeight="251661312" behindDoc="0" locked="0" layoutInCell="1" allowOverlap="1">
            <wp:simplePos x="0" y="0"/>
            <wp:positionH relativeFrom="column">
              <wp:posOffset>1127760</wp:posOffset>
            </wp:positionH>
            <wp:positionV relativeFrom="paragraph">
              <wp:posOffset>1592580</wp:posOffset>
            </wp:positionV>
            <wp:extent cx="3233420" cy="2419350"/>
            <wp:effectExtent l="19050" t="0" r="24130" b="0"/>
            <wp:wrapTopAndBottom/>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eastAsia="仿宋"/>
          <w:bCs/>
          <w:color w:val="000000"/>
          <w:kern w:val="0"/>
          <w:sz w:val="32"/>
          <w:szCs w:val="32"/>
        </w:rPr>
        <w:t>202</w:t>
      </w:r>
      <w:r>
        <w:rPr>
          <w:rFonts w:hint="eastAsia" w:ascii="仿宋" w:eastAsia="仿宋"/>
          <w:bCs/>
          <w:color w:val="000000"/>
          <w:kern w:val="0"/>
          <w:sz w:val="32"/>
          <w:szCs w:val="32"/>
        </w:rPr>
        <w:t>3年本年支出合计2002.88万元，其中：基本支出1700.12万元，占84.88%；项目支出302.76万元，占15.12%；上缴上级支出0万元，占0%；经营支出0万元，占0%；对附属单位补助支出0万元，占0%。</w:t>
      </w:r>
    </w:p>
    <w:p>
      <w:pPr>
        <w:spacing w:line="600" w:lineRule="exact"/>
        <w:ind w:firstLine="640" w:firstLineChars="200"/>
        <w:rPr>
          <w:rFonts w:ascii="仿宋_GB2312"/>
          <w:color w:val="FF0000"/>
          <w:sz w:val="32"/>
          <w:szCs w:val="32"/>
        </w:rPr>
      </w:pPr>
    </w:p>
    <w:p>
      <w:pPr>
        <w:spacing w:line="600" w:lineRule="exact"/>
        <w:ind w:firstLine="640" w:firstLineChars="200"/>
        <w:outlineLvl w:val="1"/>
        <w:rPr>
          <w:rStyle w:val="35"/>
          <w:rFonts w:ascii="黑体" w:hAnsi="黑体" w:eastAsia="黑体"/>
          <w:b w:val="0"/>
        </w:rPr>
      </w:pPr>
      <w:bookmarkStart w:id="62" w:name="_Toc148972671"/>
      <w:bookmarkStart w:id="63" w:name="_Toc15396606"/>
      <w:bookmarkStart w:id="64" w:name="_Toc15377208"/>
      <w:bookmarkStart w:id="65" w:name="_Toc113474483"/>
      <w:r>
        <w:rPr>
          <w:rFonts w:hint="eastAsia" w:ascii="黑体" w:hAnsi="黑体" w:eastAsia="黑体"/>
          <w:color w:val="000000"/>
          <w:sz w:val="32"/>
          <w:szCs w:val="32"/>
        </w:rPr>
        <w:t>四、财</w:t>
      </w:r>
      <w:r>
        <w:rPr>
          <w:rStyle w:val="35"/>
          <w:rFonts w:hint="eastAsia" w:ascii="黑体" w:hAnsi="黑体" w:eastAsia="黑体"/>
        </w:rPr>
        <w:t>政拨款收入支出决算总体情况说明</w:t>
      </w:r>
      <w:bookmarkEnd w:id="62"/>
      <w:bookmarkEnd w:id="63"/>
      <w:bookmarkEnd w:id="64"/>
      <w:bookmarkEnd w:id="65"/>
    </w:p>
    <w:p>
      <w:pPr>
        <w:autoSpaceDE w:val="0"/>
        <w:autoSpaceDN w:val="0"/>
        <w:ind w:firstLine="640" w:firstLineChars="200"/>
        <w:rPr>
          <w:rFonts w:eastAsia="仿宋"/>
          <w:sz w:val="32"/>
          <w:szCs w:val="32"/>
        </w:rPr>
      </w:pPr>
      <w:r>
        <w:rPr>
          <w:rFonts w:ascii="仿宋" w:eastAsia="仿宋"/>
          <w:bCs/>
          <w:color w:val="000000"/>
          <w:kern w:val="0"/>
          <w:sz w:val="32"/>
          <w:szCs w:val="32"/>
        </w:rPr>
        <w:drawing>
          <wp:anchor distT="0" distB="2540" distL="114300" distR="114300" simplePos="0" relativeHeight="251663360" behindDoc="0" locked="0" layoutInCell="1" allowOverlap="1">
            <wp:simplePos x="0" y="0"/>
            <wp:positionH relativeFrom="column">
              <wp:posOffset>552450</wp:posOffset>
            </wp:positionH>
            <wp:positionV relativeFrom="paragraph">
              <wp:posOffset>1654810</wp:posOffset>
            </wp:positionV>
            <wp:extent cx="4229100" cy="1996440"/>
            <wp:effectExtent l="19050" t="0" r="19050" b="381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 w:eastAsia="仿宋"/>
          <w:bCs/>
          <w:color w:val="000000"/>
          <w:kern w:val="0"/>
          <w:sz w:val="32"/>
          <w:szCs w:val="32"/>
        </w:rPr>
        <w:t>202</w:t>
      </w:r>
      <w:r>
        <w:rPr>
          <w:rFonts w:hint="eastAsia" w:ascii="仿宋" w:eastAsia="仿宋"/>
          <w:bCs/>
          <w:color w:val="000000"/>
          <w:kern w:val="0"/>
          <w:sz w:val="32"/>
          <w:szCs w:val="32"/>
        </w:rPr>
        <w:t>3年财政拨款收、支总计2002.88万元。与2022年相比，财政拨款收、支总计各增加405.42万元，增长25.38%。主要变动原因是行政区划变动，2022年1-3月由非同级财政拨付相关经费。</w:t>
      </w:r>
    </w:p>
    <w:p>
      <w:pPr>
        <w:spacing w:line="600" w:lineRule="exact"/>
        <w:ind w:firstLine="640" w:firstLineChars="200"/>
        <w:outlineLvl w:val="1"/>
        <w:rPr>
          <w:rStyle w:val="35"/>
          <w:rFonts w:ascii="黑体" w:hAnsi="黑体" w:eastAsia="黑体"/>
          <w:b w:val="0"/>
        </w:rPr>
      </w:pPr>
      <w:bookmarkStart w:id="66" w:name="_Toc148972672"/>
      <w:bookmarkStart w:id="67" w:name="_Toc15396607"/>
      <w:bookmarkStart w:id="68" w:name="_Toc15377209"/>
      <w:bookmarkStart w:id="69" w:name="_Toc113474484"/>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35"/>
          <w:rFonts w:hint="eastAsia" w:ascii="黑体" w:hAnsi="黑体" w:eastAsia="黑体"/>
        </w:rPr>
        <w:t>般公共预算财政拨款支出决算情况说明</w:t>
      </w:r>
      <w:bookmarkEnd w:id="66"/>
      <w:bookmarkEnd w:id="67"/>
      <w:bookmarkEnd w:id="68"/>
      <w:bookmarkEnd w:id="69"/>
    </w:p>
    <w:p>
      <w:pPr>
        <w:autoSpaceDE w:val="0"/>
        <w:autoSpaceDN w:val="0"/>
        <w:ind w:firstLine="642" w:firstLineChars="200"/>
        <w:rPr>
          <w:rFonts w:eastAsia="仿宋"/>
          <w:b/>
          <w:color w:val="000000"/>
          <w:sz w:val="32"/>
          <w:szCs w:val="32"/>
        </w:rPr>
      </w:pPr>
      <w:bookmarkStart w:id="70" w:name="_Toc15377210"/>
      <w:r>
        <w:rPr>
          <w:rFonts w:hint="eastAsia" w:eastAsia="仿宋"/>
          <w:b/>
          <w:color w:val="000000"/>
          <w:sz w:val="32"/>
          <w:szCs w:val="32"/>
        </w:rPr>
        <w:t>（一）一般公共预算财政拨款支出决算总体情况</w:t>
      </w:r>
      <w:bookmarkEnd w:id="70"/>
    </w:p>
    <w:p>
      <w:pPr>
        <w:autoSpaceDE w:val="0"/>
        <w:autoSpaceDN w:val="0"/>
        <w:ind w:firstLine="640" w:firstLineChars="200"/>
        <w:rPr>
          <w:rFonts w:eastAsia="仿宋"/>
          <w:sz w:val="32"/>
          <w:szCs w:val="32"/>
        </w:rPr>
      </w:pPr>
      <w:r>
        <w:rPr>
          <w:rFonts w:ascii="仿宋" w:eastAsia="仿宋"/>
          <w:bCs/>
          <w:color w:val="000000"/>
          <w:kern w:val="0"/>
          <w:sz w:val="32"/>
          <w:szCs w:val="32"/>
        </w:rPr>
        <w:t>202</w:t>
      </w:r>
      <w:r>
        <w:rPr>
          <w:rFonts w:hint="eastAsia" w:ascii="仿宋" w:eastAsia="仿宋"/>
          <w:bCs/>
          <w:color w:val="000000"/>
          <w:kern w:val="0"/>
          <w:sz w:val="32"/>
          <w:szCs w:val="32"/>
        </w:rPr>
        <w:t>3年一般公共预算财政拨款支出2002.88万元，占本年支出合计的98.74%。与2022年相比，一般公共预算财政拨款支出增加405.42万元，增长25.38%。主要变动原因是行政区划变动，2022年1-3月由非同级财政拨付相关经费。</w:t>
      </w:r>
    </w:p>
    <w:p>
      <w:pPr>
        <w:autoSpaceDE w:val="0"/>
        <w:autoSpaceDN w:val="0"/>
        <w:ind w:firstLine="642" w:firstLineChars="200"/>
        <w:rPr>
          <w:rFonts w:hint="eastAsia" w:ascii="仿宋" w:hAnsi="仿宋" w:eastAsia="仿宋"/>
          <w:b/>
          <w:color w:val="000000"/>
          <w:sz w:val="32"/>
          <w:szCs w:val="32"/>
        </w:rPr>
      </w:pPr>
      <w:bookmarkStart w:id="71" w:name="_Toc15377211"/>
      <w:r>
        <w:rPr>
          <w:rFonts w:ascii="仿宋" w:hAnsi="仿宋" w:eastAsia="仿宋"/>
          <w:b/>
          <w:color w:val="000000"/>
          <w:sz w:val="32"/>
          <w:szCs w:val="32"/>
        </w:rPr>
        <w:drawing>
          <wp:inline distT="0" distB="0" distL="0" distR="0">
            <wp:extent cx="4428490" cy="1996440"/>
            <wp:effectExtent l="19050" t="0" r="9526" b="381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autoSpaceDE w:val="0"/>
        <w:autoSpaceDN w:val="0"/>
        <w:ind w:firstLine="642"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71"/>
    </w:p>
    <w:p>
      <w:pPr>
        <w:autoSpaceDE w:val="0"/>
        <w:autoSpaceDN w:val="0"/>
        <w:ind w:firstLine="640" w:firstLineChars="200"/>
        <w:rPr>
          <w:rFonts w:ascii="仿宋" w:eastAsia="仿宋"/>
          <w:bCs/>
          <w:color w:val="000000"/>
          <w:kern w:val="0"/>
          <w:sz w:val="32"/>
          <w:szCs w:val="32"/>
        </w:rPr>
      </w:pPr>
      <w:r>
        <w:rPr>
          <w:rFonts w:hint="eastAsia" w:ascii="仿宋" w:eastAsia="仿宋"/>
          <w:bCs/>
          <w:color w:val="000000"/>
          <w:kern w:val="0"/>
          <w:sz w:val="32"/>
          <w:szCs w:val="32"/>
        </w:rPr>
        <w:t>2023年一般公共预算财政拨款支出2002.88万元，主要用于以下方面: 一般公共服务支出0.59万元，占0.03%；教育支出1750.16万元，占87.38%；社会保障和就业支出134.35万元，占6.71%；住房保障支出117.78万元，占5.88%。</w:t>
      </w:r>
    </w:p>
    <w:p>
      <w:pPr>
        <w:autoSpaceDE w:val="0"/>
        <w:autoSpaceDN w:val="0"/>
        <w:ind w:firstLine="640" w:firstLineChars="200"/>
        <w:rPr>
          <w:rFonts w:ascii="仿宋" w:eastAsia="仿宋"/>
          <w:bCs/>
          <w:color w:val="000000"/>
          <w:kern w:val="0"/>
          <w:sz w:val="32"/>
          <w:szCs w:val="32"/>
        </w:rPr>
      </w:pPr>
      <w:r>
        <w:rPr>
          <w:rFonts w:ascii="仿宋" w:eastAsia="仿宋"/>
          <w:bCs/>
          <w:color w:val="000000"/>
          <w:kern w:val="0"/>
          <w:sz w:val="32"/>
          <w:szCs w:val="32"/>
        </w:rPr>
        <w:drawing>
          <wp:inline distT="0" distB="0" distL="0" distR="0">
            <wp:extent cx="4191000" cy="2162175"/>
            <wp:effectExtent l="19050" t="0" r="19048" b="9524"/>
            <wp:docPr id="1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ind w:firstLine="642" w:firstLineChars="200"/>
        <w:rPr>
          <w:rFonts w:ascii="仿宋" w:hAnsi="仿宋" w:eastAsia="仿宋"/>
          <w:b/>
          <w:color w:val="000000"/>
          <w:sz w:val="32"/>
          <w:szCs w:val="32"/>
        </w:rPr>
      </w:pPr>
      <w:bookmarkStart w:id="72" w:name="_Toc15377212"/>
      <w:r>
        <w:rPr>
          <w:rFonts w:hint="eastAsia" w:ascii="仿宋" w:hAnsi="仿宋" w:eastAsia="仿宋"/>
          <w:b/>
          <w:color w:val="000000"/>
          <w:sz w:val="32"/>
          <w:szCs w:val="32"/>
        </w:rPr>
        <w:t>（三）一般公共预算财政拨款支出决算具体情况</w:t>
      </w:r>
      <w:bookmarkEnd w:id="72"/>
    </w:p>
    <w:p>
      <w:pPr>
        <w:autoSpaceDE w:val="0"/>
        <w:autoSpaceDN w:val="0"/>
        <w:ind w:firstLine="642" w:firstLineChars="200"/>
        <w:rPr>
          <w:rFonts w:ascii="仿宋" w:hAnsi="仿宋" w:eastAsia="仿宋"/>
          <w:b/>
          <w:color w:val="000000"/>
          <w:sz w:val="32"/>
          <w:szCs w:val="32"/>
        </w:rPr>
      </w:pPr>
      <w:r>
        <w:rPr>
          <w:rFonts w:ascii="仿宋" w:hAnsi="仿宋" w:eastAsia="仿宋"/>
          <w:b/>
          <w:color w:val="000000"/>
          <w:sz w:val="32"/>
          <w:szCs w:val="32"/>
        </w:rPr>
        <w:t>202</w:t>
      </w:r>
      <w:r>
        <w:rPr>
          <w:rFonts w:hint="eastAsia" w:ascii="仿宋" w:hAnsi="仿宋" w:eastAsia="仿宋"/>
          <w:b/>
          <w:color w:val="000000"/>
          <w:sz w:val="32"/>
          <w:szCs w:val="32"/>
        </w:rPr>
        <w:t>3年一般公共预算支出决算数为2002.88万元，完成预算100</w:t>
      </w:r>
      <w:r>
        <w:rPr>
          <w:rFonts w:ascii="仿宋" w:hAnsi="仿宋" w:eastAsia="仿宋"/>
          <w:b/>
          <w:color w:val="000000"/>
          <w:sz w:val="32"/>
          <w:szCs w:val="32"/>
        </w:rPr>
        <w:t>%</w:t>
      </w:r>
      <w:r>
        <w:rPr>
          <w:rFonts w:hint="eastAsia" w:ascii="仿宋" w:hAnsi="仿宋" w:eastAsia="仿宋"/>
          <w:b/>
          <w:color w:val="000000"/>
          <w:sz w:val="32"/>
          <w:szCs w:val="32"/>
        </w:rPr>
        <w:t>。其中：</w:t>
      </w:r>
    </w:p>
    <w:p>
      <w:pPr>
        <w:spacing w:line="600" w:lineRule="exact"/>
        <w:ind w:firstLine="642" w:firstLineChars="200"/>
        <w:rPr>
          <w:rFonts w:ascii="仿宋" w:hAnsi="仿宋" w:eastAsia="仿宋"/>
          <w:b/>
          <w:color w:val="000000"/>
          <w:sz w:val="32"/>
          <w:szCs w:val="32"/>
        </w:rPr>
      </w:pPr>
      <w:r>
        <w:rPr>
          <w:rStyle w:val="20"/>
          <w:rFonts w:ascii="仿宋" w:hAnsi="仿宋" w:eastAsia="仿宋"/>
          <w:bCs/>
          <w:color w:val="000000"/>
          <w:sz w:val="32"/>
          <w:szCs w:val="32"/>
        </w:rPr>
        <w:t>1.</w:t>
      </w:r>
      <w:r>
        <w:rPr>
          <w:rStyle w:val="20"/>
          <w:rFonts w:hint="eastAsia" w:ascii="仿宋" w:hAnsi="仿宋" w:eastAsia="仿宋"/>
          <w:bCs/>
          <w:color w:val="000000"/>
          <w:sz w:val="32"/>
          <w:szCs w:val="32"/>
        </w:rPr>
        <w:t>一般公共服务支出（类）宣传事务（款）其他宣传事务支出（项）</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支出决算为0.59万元，完成调整预算</w:t>
      </w:r>
      <w:r>
        <w:rPr>
          <w:rStyle w:val="20"/>
          <w:rFonts w:ascii="仿宋" w:hAnsi="仿宋" w:eastAsia="仿宋"/>
          <w:b w:val="0"/>
          <w:bCs/>
          <w:color w:val="000000"/>
          <w:sz w:val="32"/>
          <w:szCs w:val="32"/>
        </w:rPr>
        <w:t>100%</w:t>
      </w:r>
      <w:r>
        <w:rPr>
          <w:rStyle w:val="20"/>
          <w:rFonts w:hint="eastAsia" w:ascii="仿宋" w:hAnsi="仿宋" w:eastAsia="仿宋"/>
          <w:bCs/>
          <w:color w:val="000000"/>
          <w:sz w:val="32"/>
          <w:szCs w:val="32"/>
        </w:rPr>
        <w:t>。</w:t>
      </w:r>
    </w:p>
    <w:p>
      <w:pPr>
        <w:spacing w:line="600" w:lineRule="exact"/>
        <w:ind w:firstLine="642" w:firstLineChars="200"/>
        <w:rPr>
          <w:rFonts w:ascii="仿宋" w:hAnsi="仿宋" w:eastAsia="仿宋"/>
          <w:b/>
          <w:color w:val="000000"/>
          <w:sz w:val="32"/>
          <w:szCs w:val="32"/>
        </w:rPr>
      </w:pPr>
      <w:r>
        <w:rPr>
          <w:rStyle w:val="20"/>
          <w:rFonts w:ascii="仿宋" w:hAnsi="仿宋" w:eastAsia="仿宋"/>
          <w:bCs/>
          <w:color w:val="000000"/>
          <w:sz w:val="32"/>
          <w:szCs w:val="32"/>
        </w:rPr>
        <w:t>2.</w:t>
      </w:r>
      <w:r>
        <w:rPr>
          <w:rStyle w:val="20"/>
          <w:rFonts w:hint="eastAsia" w:ascii="仿宋" w:hAnsi="仿宋" w:eastAsia="仿宋"/>
          <w:bCs/>
          <w:color w:val="000000"/>
          <w:sz w:val="32"/>
          <w:szCs w:val="32"/>
        </w:rPr>
        <w:t>教育支出（类）普通教育（款）小学教育（项）</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支出决算为1549.86万元，完成调整预算100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p>
    <w:p>
      <w:pPr>
        <w:spacing w:line="600" w:lineRule="exact"/>
        <w:ind w:firstLine="642" w:firstLineChars="200"/>
        <w:rPr>
          <w:rFonts w:ascii="仿宋" w:hAnsi="仿宋" w:eastAsia="仿宋"/>
          <w:bCs/>
          <w:color w:val="000000"/>
          <w:sz w:val="32"/>
          <w:szCs w:val="32"/>
        </w:rPr>
      </w:pPr>
      <w:r>
        <w:rPr>
          <w:rStyle w:val="20"/>
          <w:rFonts w:ascii="仿宋" w:hAnsi="仿宋" w:eastAsia="仿宋"/>
          <w:bCs/>
          <w:color w:val="000000"/>
          <w:sz w:val="32"/>
          <w:szCs w:val="32"/>
        </w:rPr>
        <w:t>3.</w:t>
      </w:r>
      <w:r>
        <w:rPr>
          <w:rStyle w:val="20"/>
          <w:rFonts w:hint="eastAsia" w:ascii="仿宋" w:hAnsi="仿宋" w:eastAsia="仿宋"/>
          <w:bCs/>
          <w:color w:val="000000"/>
          <w:sz w:val="32"/>
          <w:szCs w:val="32"/>
        </w:rPr>
        <w:t>教育支出（类）普通教育（款）其他普通教育支出（项）</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支出决算为10.61万元，完成调整预算100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p>
    <w:p>
      <w:pPr>
        <w:spacing w:line="600" w:lineRule="exact"/>
        <w:ind w:firstLine="642" w:firstLineChars="200"/>
        <w:rPr>
          <w:rStyle w:val="20"/>
          <w:bCs/>
        </w:rPr>
      </w:pPr>
      <w:r>
        <w:rPr>
          <w:rStyle w:val="20"/>
          <w:rFonts w:hint="eastAsia" w:ascii="仿宋" w:hAnsi="仿宋" w:eastAsia="仿宋"/>
          <w:bCs/>
          <w:color w:val="000000"/>
          <w:sz w:val="32"/>
          <w:szCs w:val="32"/>
        </w:rPr>
        <w:t>4. 教育支出（类）教育费附加安排的支出（款）其他教育费附加安排的支出（项）</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支出决算为189.69万元，完成调整预算100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p>
    <w:p>
      <w:pPr>
        <w:spacing w:line="600" w:lineRule="exact"/>
        <w:ind w:firstLine="642" w:firstLineChars="200"/>
        <w:rPr>
          <w:rStyle w:val="20"/>
          <w:rFonts w:ascii="仿宋" w:hAnsi="仿宋" w:eastAsia="仿宋"/>
          <w:b w:val="0"/>
          <w:bCs/>
          <w:color w:val="000000"/>
          <w:sz w:val="32"/>
          <w:szCs w:val="32"/>
        </w:rPr>
      </w:pPr>
      <w:r>
        <w:rPr>
          <w:rStyle w:val="20"/>
          <w:rFonts w:hint="eastAsia" w:ascii="仿宋" w:hAnsi="仿宋" w:eastAsia="仿宋"/>
          <w:bCs/>
          <w:color w:val="000000"/>
          <w:sz w:val="32"/>
          <w:szCs w:val="32"/>
        </w:rPr>
        <w:t>5</w:t>
      </w:r>
      <w:r>
        <w:rPr>
          <w:rStyle w:val="20"/>
          <w:rFonts w:ascii="仿宋" w:hAnsi="仿宋" w:eastAsia="仿宋"/>
          <w:bCs/>
          <w:color w:val="000000"/>
          <w:sz w:val="32"/>
          <w:szCs w:val="32"/>
        </w:rPr>
        <w:t>.</w:t>
      </w:r>
      <w:r>
        <w:rPr>
          <w:rStyle w:val="20"/>
          <w:rFonts w:hint="eastAsia" w:ascii="仿宋" w:hAnsi="仿宋" w:eastAsia="仿宋"/>
          <w:bCs/>
          <w:color w:val="000000"/>
          <w:sz w:val="32"/>
          <w:szCs w:val="32"/>
        </w:rPr>
        <w:t>社会保障和就业支出（类）行政事业单位养老支出（款）机关事业单位基本养老保险缴费支出（项）</w:t>
      </w:r>
      <w:r>
        <w:rPr>
          <w:rStyle w:val="20"/>
          <w:rFonts w:ascii="仿宋" w:hAnsi="仿宋" w:eastAsia="仿宋"/>
          <w:bCs/>
          <w:color w:val="000000"/>
          <w:sz w:val="32"/>
          <w:szCs w:val="32"/>
        </w:rPr>
        <w:t xml:space="preserve">: </w:t>
      </w:r>
      <w:r>
        <w:rPr>
          <w:rStyle w:val="20"/>
          <w:rFonts w:hint="eastAsia" w:ascii="仿宋" w:hAnsi="仿宋" w:eastAsia="仿宋"/>
          <w:b w:val="0"/>
          <w:bCs/>
          <w:color w:val="000000"/>
          <w:sz w:val="32"/>
          <w:szCs w:val="32"/>
        </w:rPr>
        <w:t>支出决算为127.93万元，完成调整预算100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p>
    <w:p>
      <w:pPr>
        <w:spacing w:line="600" w:lineRule="exact"/>
        <w:ind w:firstLine="642" w:firstLineChars="200"/>
        <w:rPr>
          <w:rStyle w:val="20"/>
          <w:rFonts w:ascii="仿宋" w:hAnsi="仿宋" w:eastAsia="仿宋"/>
          <w:b w:val="0"/>
          <w:bCs/>
          <w:color w:val="000000"/>
          <w:sz w:val="32"/>
          <w:szCs w:val="32"/>
        </w:rPr>
      </w:pPr>
      <w:r>
        <w:rPr>
          <w:rStyle w:val="20"/>
          <w:rFonts w:hint="eastAsia" w:ascii="仿宋" w:hAnsi="仿宋" w:eastAsia="仿宋"/>
          <w:bCs/>
          <w:color w:val="000000"/>
          <w:sz w:val="32"/>
          <w:szCs w:val="32"/>
        </w:rPr>
        <w:t>6</w:t>
      </w:r>
      <w:r>
        <w:rPr>
          <w:rStyle w:val="20"/>
          <w:rFonts w:ascii="仿宋" w:hAnsi="仿宋" w:eastAsia="仿宋"/>
          <w:bCs/>
          <w:color w:val="000000"/>
          <w:sz w:val="32"/>
          <w:szCs w:val="32"/>
        </w:rPr>
        <w:t>.</w:t>
      </w:r>
      <w:r>
        <w:rPr>
          <w:rStyle w:val="20"/>
          <w:rFonts w:hint="eastAsia" w:ascii="仿宋" w:hAnsi="仿宋" w:eastAsia="仿宋"/>
          <w:bCs/>
          <w:color w:val="000000"/>
          <w:sz w:val="32"/>
          <w:szCs w:val="32"/>
        </w:rPr>
        <w:t>社会保障和就业支出（类）抚恤（款）死亡抚恤（项）</w:t>
      </w:r>
      <w:r>
        <w:rPr>
          <w:rStyle w:val="20"/>
          <w:rFonts w:ascii="仿宋" w:hAnsi="仿宋" w:eastAsia="仿宋"/>
          <w:bCs/>
          <w:color w:val="000000"/>
          <w:sz w:val="32"/>
          <w:szCs w:val="32"/>
        </w:rPr>
        <w:t xml:space="preserve">: </w:t>
      </w:r>
      <w:r>
        <w:rPr>
          <w:rStyle w:val="20"/>
          <w:rFonts w:hint="eastAsia" w:ascii="仿宋" w:hAnsi="仿宋" w:eastAsia="仿宋"/>
          <w:b w:val="0"/>
          <w:bCs/>
          <w:color w:val="000000"/>
          <w:sz w:val="32"/>
          <w:szCs w:val="32"/>
        </w:rPr>
        <w:t>支出决算为6.42万元，完成调整预算100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p>
    <w:p>
      <w:pPr>
        <w:spacing w:line="600" w:lineRule="exact"/>
        <w:ind w:firstLine="642" w:firstLineChars="200"/>
        <w:rPr>
          <w:rStyle w:val="20"/>
          <w:rFonts w:ascii="仿宋" w:hAnsi="仿宋" w:eastAsia="仿宋"/>
          <w:b w:val="0"/>
          <w:bCs/>
          <w:color w:val="000000"/>
          <w:sz w:val="32"/>
          <w:szCs w:val="32"/>
        </w:rPr>
      </w:pPr>
      <w:r>
        <w:rPr>
          <w:rStyle w:val="20"/>
          <w:rFonts w:hint="eastAsia" w:ascii="仿宋" w:hAnsi="仿宋" w:eastAsia="仿宋"/>
          <w:bCs/>
          <w:color w:val="000000"/>
          <w:sz w:val="32"/>
          <w:szCs w:val="32"/>
        </w:rPr>
        <w:t>7</w:t>
      </w:r>
      <w:r>
        <w:rPr>
          <w:rStyle w:val="20"/>
          <w:rFonts w:ascii="仿宋" w:hAnsi="仿宋" w:eastAsia="仿宋"/>
          <w:bCs/>
          <w:color w:val="000000"/>
          <w:sz w:val="32"/>
          <w:szCs w:val="32"/>
        </w:rPr>
        <w:t>.</w:t>
      </w:r>
      <w:r>
        <w:rPr>
          <w:rStyle w:val="20"/>
          <w:rFonts w:hint="eastAsia" w:ascii="仿宋" w:hAnsi="仿宋" w:eastAsia="仿宋"/>
          <w:bCs/>
          <w:color w:val="000000"/>
          <w:sz w:val="32"/>
          <w:szCs w:val="32"/>
        </w:rPr>
        <w:t>住房保障支出（类）住房改革支出（款）住房公积金（项）</w:t>
      </w:r>
      <w:r>
        <w:rPr>
          <w:rStyle w:val="20"/>
          <w:rFonts w:ascii="仿宋" w:hAnsi="仿宋" w:eastAsia="仿宋"/>
          <w:bCs/>
          <w:color w:val="000000"/>
          <w:sz w:val="32"/>
          <w:szCs w:val="32"/>
        </w:rPr>
        <w:t xml:space="preserve">: </w:t>
      </w:r>
      <w:r>
        <w:rPr>
          <w:rStyle w:val="20"/>
          <w:rFonts w:hint="eastAsia" w:ascii="仿宋" w:hAnsi="仿宋" w:eastAsia="仿宋"/>
          <w:b w:val="0"/>
          <w:bCs/>
          <w:color w:val="000000"/>
          <w:sz w:val="32"/>
          <w:szCs w:val="32"/>
        </w:rPr>
        <w:t>支出决算为91.51万元，完成调整预算100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p>
    <w:p>
      <w:pPr>
        <w:tabs>
          <w:tab w:val="right" w:pos="8306"/>
        </w:tabs>
        <w:spacing w:line="600" w:lineRule="exact"/>
        <w:ind w:firstLine="640"/>
        <w:outlineLvl w:val="1"/>
        <w:rPr>
          <w:rStyle w:val="35"/>
        </w:rPr>
      </w:pPr>
      <w:bookmarkStart w:id="73" w:name="_Toc15396608"/>
      <w:bookmarkStart w:id="74" w:name="_Toc148972673"/>
      <w:bookmarkStart w:id="75" w:name="_Toc113474485"/>
      <w:bookmarkStart w:id="76"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35"/>
          <w:rFonts w:hint="eastAsia" w:ascii="黑体" w:hAnsi="黑体" w:eastAsia="黑体"/>
        </w:rPr>
        <w:t>般公共预算财政拨款基本支出决算情况说明</w:t>
      </w:r>
      <w:bookmarkEnd w:id="73"/>
      <w:bookmarkEnd w:id="74"/>
      <w:bookmarkEnd w:id="75"/>
      <w:bookmarkEnd w:id="76"/>
      <w:r>
        <w:rPr>
          <w:rStyle w:val="35"/>
          <w:rFonts w:ascii="黑体" w:hAnsi="黑体" w:eastAsia="黑体"/>
        </w:rPr>
        <w:tab/>
      </w:r>
    </w:p>
    <w:p>
      <w:pPr>
        <w:spacing w:line="576" w:lineRule="exact"/>
        <w:ind w:firstLine="643"/>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3年一般公共预算财政拨款基本支出1700.12万元，其中：</w:t>
      </w:r>
    </w:p>
    <w:p>
      <w:pPr>
        <w:spacing w:line="576" w:lineRule="exact"/>
        <w:ind w:firstLine="643"/>
        <w:rPr>
          <w:rFonts w:ascii="仿宋_GB2312" w:hAnsi="Cambria" w:cs="仿宋_GB2312"/>
          <w:color w:val="000000"/>
          <w:sz w:val="32"/>
          <w:szCs w:val="32"/>
          <w:lang w:val="zh-CN"/>
        </w:rPr>
      </w:pPr>
      <w:r>
        <w:rPr>
          <w:rFonts w:hint="eastAsia" w:ascii="仿宋" w:hAnsi="仿宋" w:eastAsia="仿宋"/>
          <w:sz w:val="32"/>
          <w:szCs w:val="32"/>
        </w:rPr>
        <w:t>人员经费1642.3万元，主要包括：基本工资、津贴补贴、绩效工资、机关事业单位基本养老保险缴费、职工基本医疗保险缴费、公务员医疗补助缴费、其他社会保障缴费、住房公积金、抚恤金、生活补助、医疗费补助</w:t>
      </w:r>
      <w:r>
        <w:rPr>
          <w:rFonts w:hint="eastAsia" w:ascii="仿宋_GB2312"/>
          <w:color w:val="000000"/>
          <w:sz w:val="32"/>
          <w:szCs w:val="32"/>
        </w:rPr>
        <w:t>。</w:t>
      </w:r>
    </w:p>
    <w:p>
      <w:pPr>
        <w:autoSpaceDE w:val="0"/>
        <w:autoSpaceDN w:val="0"/>
        <w:ind w:firstLine="640" w:firstLineChars="200"/>
        <w:rPr>
          <w:rFonts w:eastAsia="仿宋"/>
          <w:color w:val="000000"/>
          <w:sz w:val="32"/>
          <w:szCs w:val="32"/>
        </w:rPr>
      </w:pPr>
      <w:r>
        <w:rPr>
          <w:rFonts w:hint="eastAsia" w:ascii="仿宋" w:hAnsi="仿宋" w:eastAsia="仿宋"/>
          <w:sz w:val="32"/>
          <w:szCs w:val="32"/>
        </w:rPr>
        <w:t>公用经费57.8万元，主要包括：办公费、咨询费、水费、电费、邮电费、差旅费、维修（护）费、工会经费、福利费、其他商品和服务支出</w:t>
      </w:r>
      <w:r>
        <w:rPr>
          <w:rFonts w:hint="eastAsia" w:ascii="仿宋_GB2312"/>
          <w:color w:val="000000"/>
          <w:sz w:val="32"/>
          <w:szCs w:val="32"/>
        </w:rPr>
        <w:t>。</w:t>
      </w:r>
    </w:p>
    <w:p>
      <w:pPr>
        <w:spacing w:line="600" w:lineRule="exact"/>
        <w:ind w:firstLine="640"/>
        <w:outlineLvl w:val="1"/>
        <w:rPr>
          <w:rStyle w:val="35"/>
          <w:rFonts w:ascii="黑体" w:hAnsi="黑体" w:eastAsia="黑体"/>
          <w:b w:val="0"/>
        </w:rPr>
      </w:pPr>
      <w:bookmarkStart w:id="77" w:name="_Toc15396609"/>
      <w:bookmarkStart w:id="78" w:name="_Toc148972674"/>
      <w:bookmarkStart w:id="79" w:name="_Toc15377215"/>
      <w:bookmarkStart w:id="80" w:name="_Toc113474486"/>
      <w:r>
        <w:rPr>
          <w:rFonts w:hint="eastAsia" w:ascii="黑体" w:eastAsia="黑体"/>
          <w:color w:val="000000"/>
          <w:sz w:val="32"/>
          <w:szCs w:val="32"/>
        </w:rPr>
        <w:t>七、</w:t>
      </w:r>
      <w:bookmarkEnd w:id="77"/>
      <w:bookmarkEnd w:id="78"/>
      <w:bookmarkEnd w:id="79"/>
      <w:bookmarkEnd w:id="80"/>
      <w:r>
        <w:rPr>
          <w:rStyle w:val="35"/>
          <w:rFonts w:hint="eastAsia" w:ascii="黑体" w:hAnsi="黑体" w:eastAsia="黑体"/>
        </w:rPr>
        <w:t>财政拨款“三公”经费支出决算情况说明</w:t>
      </w:r>
    </w:p>
    <w:p>
      <w:pPr>
        <w:autoSpaceDE w:val="0"/>
        <w:autoSpaceDN w:val="0"/>
        <w:ind w:firstLine="640" w:firstLineChars="200"/>
        <w:rPr>
          <w:rFonts w:eastAsia="仿宋"/>
          <w:color w:val="000000"/>
          <w:sz w:val="32"/>
          <w:szCs w:val="32"/>
        </w:rPr>
      </w:pPr>
      <w:bookmarkStart w:id="81" w:name="_Toc15377216"/>
      <w:r>
        <w:rPr>
          <w:rFonts w:hint="eastAsia" w:eastAsia="仿宋"/>
          <w:color w:val="000000"/>
          <w:sz w:val="32"/>
          <w:szCs w:val="32"/>
        </w:rPr>
        <w:t>（一）“三公”经费财政拨款支出决算总体情况说明</w:t>
      </w:r>
      <w:bookmarkEnd w:id="81"/>
    </w:p>
    <w:p>
      <w:pPr>
        <w:autoSpaceDE w:val="0"/>
        <w:autoSpaceDN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3年</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经费财政拨款支出决算为0万元，完成预算</w:t>
      </w:r>
      <w:r>
        <w:rPr>
          <w:rFonts w:ascii="仿宋" w:hAnsi="仿宋" w:eastAsia="仿宋"/>
          <w:sz w:val="32"/>
          <w:szCs w:val="32"/>
        </w:rPr>
        <w:t>0%</w:t>
      </w:r>
      <w:r>
        <w:rPr>
          <w:rFonts w:hint="eastAsia" w:ascii="仿宋" w:hAnsi="仿宋" w:eastAsia="仿宋"/>
          <w:sz w:val="32"/>
          <w:szCs w:val="32"/>
        </w:rPr>
        <w:t>；与上年一致。决算数与预算数持平。</w:t>
      </w:r>
    </w:p>
    <w:p>
      <w:pPr>
        <w:autoSpaceDE w:val="0"/>
        <w:autoSpaceDN w:val="0"/>
        <w:ind w:firstLine="642" w:firstLineChars="200"/>
        <w:rPr>
          <w:rFonts w:eastAsia="仿宋"/>
          <w:color w:val="000000"/>
          <w:sz w:val="32"/>
          <w:szCs w:val="32"/>
        </w:rPr>
      </w:pPr>
      <w:bookmarkStart w:id="82" w:name="_Toc15377217"/>
      <w:r>
        <w:rPr>
          <w:rFonts w:hint="eastAsia" w:eastAsia="仿宋"/>
          <w:b/>
          <w:color w:val="000000"/>
          <w:sz w:val="32"/>
          <w:szCs w:val="32"/>
        </w:rPr>
        <w:t>（二）“三公”经费财政拨款支出决算具体情况说明</w:t>
      </w:r>
      <w:bookmarkEnd w:id="82"/>
    </w:p>
    <w:p>
      <w:pPr>
        <w:autoSpaceDE w:val="0"/>
        <w:autoSpaceDN w:val="0"/>
        <w:ind w:firstLine="640" w:firstLineChars="200"/>
        <w:rPr>
          <w:rFonts w:ascii="仿宋_GB2312" w:hAnsi="Cambria" w:cs="仿宋_GB2312"/>
          <w:color w:val="000000"/>
          <w:sz w:val="32"/>
          <w:szCs w:val="32"/>
          <w:lang w:val="zh-CN"/>
        </w:rPr>
      </w:pPr>
      <w:r>
        <w:rPr>
          <w:rFonts w:ascii="仿宋" w:hAnsi="仿宋" w:eastAsia="仿宋"/>
          <w:sz w:val="32"/>
          <w:szCs w:val="32"/>
        </w:rPr>
        <w:t>202</w:t>
      </w:r>
      <w:r>
        <w:rPr>
          <w:rFonts w:hint="eastAsia" w:ascii="仿宋" w:hAnsi="仿宋" w:eastAsia="仿宋"/>
          <w:sz w:val="32"/>
          <w:szCs w:val="32"/>
        </w:rPr>
        <w:t>3年</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w:t>
      </w:r>
    </w:p>
    <w:p>
      <w:pPr>
        <w:autoSpaceDE w:val="0"/>
        <w:autoSpaceDN w:val="0"/>
        <w:ind w:firstLine="642" w:firstLineChars="200"/>
        <w:rPr>
          <w:rFonts w:eastAsia="仿宋"/>
          <w:color w:val="000000"/>
          <w:sz w:val="32"/>
          <w:szCs w:val="32"/>
        </w:rPr>
      </w:pPr>
      <w:r>
        <w:rPr>
          <w:rFonts w:ascii="仿宋_GB2312" w:hAnsi="Cambria" w:cs="仿宋_GB2312"/>
          <w:b/>
          <w:bCs/>
          <w:color w:val="000000"/>
          <w:sz w:val="32"/>
          <w:szCs w:val="32"/>
          <w:lang w:val="zh-CN"/>
        </w:rPr>
        <w:t>1.</w:t>
      </w:r>
      <w:r>
        <w:rPr>
          <w:rFonts w:hint="eastAsia" w:ascii="仿宋_GB2312" w:hAnsi="Cambria" w:cs="仿宋_GB2312"/>
          <w:b/>
          <w:bCs/>
          <w:color w:val="000000"/>
          <w:sz w:val="32"/>
          <w:szCs w:val="32"/>
          <w:lang w:val="zh-CN"/>
        </w:rPr>
        <w:t>因公出国（境）经费</w:t>
      </w:r>
      <w:r>
        <w:rPr>
          <w:rFonts w:hint="eastAsia" w:ascii="仿宋_GB2312" w:hAnsi="Cambria" w:cs="仿宋_GB2312"/>
          <w:color w:val="000000"/>
          <w:sz w:val="32"/>
          <w:szCs w:val="32"/>
          <w:lang w:val="zh-CN"/>
        </w:rPr>
        <w:t>支出</w:t>
      </w:r>
      <w:r>
        <w:rPr>
          <w:rFonts w:ascii="仿宋_GB2312" w:hAnsi="Cambria" w:cs="仿宋_GB2312"/>
          <w:color w:val="000000"/>
          <w:sz w:val="32"/>
          <w:szCs w:val="32"/>
          <w:lang w:val="zh-CN"/>
        </w:rPr>
        <w:t>0</w:t>
      </w:r>
      <w:r>
        <w:rPr>
          <w:rFonts w:hint="eastAsia" w:ascii="仿宋_GB2312" w:hAnsi="Cambria" w:cs="仿宋_GB2312"/>
          <w:color w:val="000000"/>
          <w:sz w:val="32"/>
          <w:szCs w:val="32"/>
          <w:lang w:val="zh-CN"/>
        </w:rPr>
        <w:t>万元，完成预算</w:t>
      </w:r>
      <w:r>
        <w:rPr>
          <w:rFonts w:ascii="仿宋_GB2312" w:hAnsi="Cambria" w:cs="仿宋_GB2312"/>
          <w:color w:val="000000"/>
          <w:sz w:val="32"/>
          <w:szCs w:val="32"/>
          <w:lang w:val="zh-CN"/>
        </w:rPr>
        <w:t>0%</w:t>
      </w:r>
      <w:r>
        <w:rPr>
          <w:rFonts w:hint="eastAsia" w:ascii="仿宋_GB2312" w:hAnsi="Cambria" w:cs="仿宋_GB2312"/>
          <w:color w:val="000000"/>
          <w:sz w:val="32"/>
          <w:szCs w:val="32"/>
          <w:lang w:val="zh-CN"/>
        </w:rPr>
        <w:t>。全年安排因公出国（境）团组</w:t>
      </w:r>
      <w:r>
        <w:rPr>
          <w:rFonts w:ascii="仿宋_GB2312" w:hAnsi="Cambria" w:cs="仿宋_GB2312"/>
          <w:color w:val="000000"/>
          <w:sz w:val="32"/>
          <w:szCs w:val="32"/>
          <w:lang w:val="zh-CN"/>
        </w:rPr>
        <w:t>0</w:t>
      </w:r>
      <w:r>
        <w:rPr>
          <w:rFonts w:hint="eastAsia" w:ascii="仿宋_GB2312" w:hAnsi="Cambria" w:cs="仿宋_GB2312"/>
          <w:color w:val="000000"/>
          <w:sz w:val="32"/>
          <w:szCs w:val="32"/>
          <w:lang w:val="zh-CN"/>
        </w:rPr>
        <w:t>个，出国（境）</w:t>
      </w:r>
      <w:r>
        <w:rPr>
          <w:rFonts w:ascii="仿宋_GB2312" w:hAnsi="Cambria" w:cs="仿宋_GB2312"/>
          <w:color w:val="000000"/>
          <w:sz w:val="32"/>
          <w:szCs w:val="32"/>
          <w:lang w:val="zh-CN"/>
        </w:rPr>
        <w:t>0</w:t>
      </w:r>
      <w:r>
        <w:rPr>
          <w:rFonts w:hint="eastAsia" w:ascii="仿宋_GB2312" w:hAnsi="Cambria" w:cs="仿宋_GB2312"/>
          <w:color w:val="000000"/>
          <w:sz w:val="32"/>
          <w:szCs w:val="32"/>
          <w:lang w:val="zh-CN"/>
        </w:rPr>
        <w:t>人。因公出国（境）支出决算与</w:t>
      </w:r>
      <w:r>
        <w:rPr>
          <w:rFonts w:ascii="仿宋_GB2312" w:hAnsi="Cambria" w:cs="仿宋_GB2312"/>
          <w:color w:val="000000"/>
          <w:sz w:val="32"/>
          <w:szCs w:val="32"/>
          <w:lang w:val="zh-CN"/>
        </w:rPr>
        <w:t>2021</w:t>
      </w:r>
      <w:r>
        <w:rPr>
          <w:rFonts w:hint="eastAsia" w:ascii="仿宋_GB2312" w:hAnsi="Cambria" w:cs="仿宋_GB2312"/>
          <w:color w:val="000000"/>
          <w:sz w:val="32"/>
          <w:szCs w:val="32"/>
          <w:lang w:val="zh-CN"/>
        </w:rPr>
        <w:t>年持平。</w:t>
      </w:r>
    </w:p>
    <w:p>
      <w:pPr>
        <w:autoSpaceDE w:val="0"/>
        <w:autoSpaceDN w:val="0"/>
        <w:ind w:firstLine="642" w:firstLineChars="200"/>
        <w:rPr>
          <w:rFonts w:eastAsia="仿宋"/>
          <w:color w:val="000000"/>
          <w:sz w:val="32"/>
          <w:szCs w:val="32"/>
        </w:rPr>
      </w:pPr>
      <w:r>
        <w:rPr>
          <w:rFonts w:ascii="仿宋_GB2312" w:hAnsi="Cambria" w:cs="仿宋_GB2312"/>
          <w:b/>
          <w:bCs/>
          <w:color w:val="000000"/>
          <w:sz w:val="32"/>
          <w:szCs w:val="32"/>
          <w:lang w:val="zh-CN"/>
        </w:rPr>
        <w:t>2.</w:t>
      </w:r>
      <w:r>
        <w:rPr>
          <w:rFonts w:hint="eastAsia" w:ascii="仿宋_GB2312" w:hAnsi="Cambria" w:cs="仿宋_GB2312"/>
          <w:b/>
          <w:bCs/>
          <w:color w:val="000000"/>
          <w:sz w:val="32"/>
          <w:szCs w:val="32"/>
          <w:lang w:val="zh-CN"/>
        </w:rPr>
        <w:t>公务用车购置及运行维护费</w:t>
      </w:r>
      <w:r>
        <w:rPr>
          <w:rFonts w:hint="eastAsia" w:ascii="仿宋_GB2312" w:hAnsi="Cambria" w:cs="仿宋_GB2312"/>
          <w:color w:val="000000"/>
          <w:sz w:val="32"/>
          <w:szCs w:val="32"/>
          <w:lang w:val="zh-CN"/>
        </w:rPr>
        <w:t>支出0万元，完成预算0</w:t>
      </w:r>
      <w:r>
        <w:rPr>
          <w:rFonts w:ascii="仿宋_GB2312" w:hAnsi="Cambria" w:cs="仿宋_GB2312"/>
          <w:color w:val="000000"/>
          <w:sz w:val="32"/>
          <w:szCs w:val="32"/>
          <w:lang w:val="zh-CN"/>
        </w:rPr>
        <w:t>%</w:t>
      </w:r>
      <w:r>
        <w:rPr>
          <w:rFonts w:hint="eastAsia" w:ascii="仿宋_GB2312" w:hAnsi="Cambria" w:cs="仿宋_GB2312"/>
          <w:color w:val="000000"/>
          <w:sz w:val="32"/>
          <w:szCs w:val="32"/>
          <w:lang w:val="zh-CN"/>
        </w:rPr>
        <w:t>。公务用车购置及运行维护费支出决算与</w:t>
      </w:r>
      <w:r>
        <w:rPr>
          <w:rFonts w:ascii="仿宋_GB2312" w:hAnsi="Cambria" w:cs="仿宋_GB2312"/>
          <w:color w:val="000000"/>
          <w:sz w:val="32"/>
          <w:szCs w:val="32"/>
          <w:lang w:val="zh-CN"/>
        </w:rPr>
        <w:t>202</w:t>
      </w:r>
      <w:r>
        <w:rPr>
          <w:rFonts w:hint="eastAsia" w:ascii="仿宋_GB2312" w:hAnsi="Cambria" w:cs="仿宋_GB2312"/>
          <w:color w:val="000000"/>
          <w:sz w:val="32"/>
          <w:szCs w:val="32"/>
          <w:lang w:val="zh-CN"/>
        </w:rPr>
        <w:t>2年一致。</w:t>
      </w:r>
    </w:p>
    <w:p>
      <w:pPr>
        <w:autoSpaceDE w:val="0"/>
        <w:autoSpaceDN w:val="0"/>
        <w:ind w:firstLine="640" w:firstLineChars="200"/>
        <w:rPr>
          <w:rFonts w:eastAsia="仿宋"/>
          <w:color w:val="000000"/>
          <w:sz w:val="32"/>
          <w:szCs w:val="32"/>
        </w:rPr>
      </w:pPr>
      <w:r>
        <w:rPr>
          <w:rFonts w:hint="eastAsia" w:eastAsia="仿宋"/>
          <w:color w:val="000000"/>
          <w:sz w:val="32"/>
          <w:szCs w:val="32"/>
        </w:rPr>
        <w:t>其中：公务用车购置支出0万元。全年按规定更新购置公务用车0辆，其中：轿车0辆、金额0万元，越野车0辆、金额0万元，小型载客汽车0辆、金额0万元，大中型载客汽车0辆、金额0万元，其他车型0辆、金额0万元。截至</w:t>
      </w:r>
      <w:r>
        <w:rPr>
          <w:rFonts w:eastAsia="仿宋"/>
          <w:color w:val="000000"/>
          <w:sz w:val="32"/>
          <w:szCs w:val="32"/>
        </w:rPr>
        <w:t>202</w:t>
      </w:r>
      <w:r>
        <w:rPr>
          <w:rFonts w:hint="eastAsia" w:eastAsia="仿宋"/>
          <w:color w:val="000000"/>
          <w:sz w:val="32"/>
          <w:szCs w:val="32"/>
        </w:rPr>
        <w:t>3年</w:t>
      </w:r>
      <w:r>
        <w:rPr>
          <w:rFonts w:eastAsia="仿宋"/>
          <w:color w:val="000000"/>
          <w:sz w:val="32"/>
          <w:szCs w:val="32"/>
        </w:rPr>
        <w:t>12</w:t>
      </w:r>
      <w:r>
        <w:rPr>
          <w:rFonts w:hint="eastAsia" w:eastAsia="仿宋"/>
          <w:color w:val="000000"/>
          <w:sz w:val="32"/>
          <w:szCs w:val="32"/>
        </w:rPr>
        <w:t>月底，本单位共有公务用车2辆，其中：轿车2辆（</w:t>
      </w:r>
      <w:r>
        <w:rPr>
          <w:rFonts w:hint="eastAsia" w:ascii="仿宋_GB2312"/>
          <w:color w:val="000000"/>
          <w:sz w:val="32"/>
          <w:szCs w:val="32"/>
        </w:rPr>
        <w:t>2016年清产核资是已达报废车辆。手续已办完，等下报废批文）</w:t>
      </w:r>
      <w:r>
        <w:rPr>
          <w:rFonts w:hint="eastAsia" w:eastAsia="仿宋"/>
          <w:color w:val="000000"/>
          <w:sz w:val="32"/>
          <w:szCs w:val="32"/>
        </w:rPr>
        <w:t>、越野车0辆、小型载客汽车0辆、大中型载客汽车0辆、其他车型0辆。</w:t>
      </w:r>
    </w:p>
    <w:p>
      <w:pPr>
        <w:autoSpaceDE w:val="0"/>
        <w:autoSpaceDN w:val="0"/>
        <w:ind w:firstLine="642" w:firstLineChars="200"/>
        <w:rPr>
          <w:rFonts w:eastAsia="仿宋"/>
          <w:color w:val="000000"/>
          <w:sz w:val="32"/>
          <w:szCs w:val="32"/>
        </w:rPr>
      </w:pPr>
      <w:r>
        <w:rPr>
          <w:rFonts w:hint="eastAsia" w:ascii="仿宋_GB2312" w:hAnsi="Cambria" w:cs="仿宋_GB2312"/>
          <w:b/>
          <w:bCs/>
          <w:color w:val="000000"/>
          <w:sz w:val="32"/>
          <w:szCs w:val="32"/>
          <w:lang w:val="zh-CN"/>
        </w:rPr>
        <w:t>公务用车运行维护费</w:t>
      </w:r>
      <w:r>
        <w:rPr>
          <w:rFonts w:hint="eastAsia" w:ascii="仿宋_GB2312" w:hAnsi="Cambria" w:cs="仿宋_GB2312"/>
          <w:color w:val="000000"/>
          <w:sz w:val="32"/>
          <w:szCs w:val="32"/>
          <w:lang w:val="zh-CN"/>
        </w:rPr>
        <w:t>支出0万元。</w:t>
      </w:r>
    </w:p>
    <w:p>
      <w:pPr>
        <w:keepNext/>
        <w:keepLines/>
        <w:spacing w:line="576" w:lineRule="exact"/>
        <w:ind w:firstLine="643"/>
        <w:rPr>
          <w:rFonts w:ascii="仿宋_GB2312" w:hAnsi="Cambria" w:cs="仿宋_GB2312"/>
          <w:color w:val="000000"/>
          <w:sz w:val="32"/>
          <w:szCs w:val="32"/>
          <w:lang w:val="zh-CN"/>
        </w:rPr>
      </w:pPr>
      <w:r>
        <w:rPr>
          <w:rFonts w:ascii="仿宋_GB2312" w:hAnsi="Cambria" w:cs="仿宋_GB2312"/>
          <w:b/>
          <w:bCs/>
          <w:color w:val="000000"/>
          <w:sz w:val="32"/>
          <w:szCs w:val="32"/>
          <w:lang w:val="zh-CN"/>
        </w:rPr>
        <w:t>3.</w:t>
      </w:r>
      <w:r>
        <w:rPr>
          <w:rFonts w:hint="eastAsia" w:ascii="仿宋_GB2312" w:hAnsi="Cambria" w:cs="仿宋_GB2312"/>
          <w:b/>
          <w:bCs/>
          <w:color w:val="000000"/>
          <w:sz w:val="32"/>
          <w:szCs w:val="32"/>
          <w:lang w:val="zh-CN"/>
        </w:rPr>
        <w:t>公务接待费</w:t>
      </w:r>
      <w:r>
        <w:rPr>
          <w:rFonts w:hint="eastAsia" w:ascii="仿宋_GB2312" w:hAnsi="Cambria" w:cs="仿宋_GB2312"/>
          <w:color w:val="000000"/>
          <w:sz w:val="32"/>
          <w:szCs w:val="32"/>
          <w:lang w:val="zh-CN"/>
        </w:rPr>
        <w:t>支出0万元，完成预算0</w:t>
      </w:r>
      <w:r>
        <w:rPr>
          <w:rFonts w:ascii="仿宋_GB2312" w:hAnsi="Cambria" w:cs="仿宋_GB2312"/>
          <w:color w:val="000000"/>
          <w:sz w:val="32"/>
          <w:szCs w:val="32"/>
          <w:lang w:val="zh-CN"/>
        </w:rPr>
        <w:t>%</w:t>
      </w:r>
      <w:r>
        <w:rPr>
          <w:rFonts w:hint="eastAsia" w:ascii="仿宋_GB2312" w:hAnsi="Cambria" w:cs="仿宋_GB2312"/>
          <w:color w:val="000000"/>
          <w:sz w:val="32"/>
          <w:szCs w:val="32"/>
          <w:lang w:val="zh-CN"/>
        </w:rPr>
        <w:t>。公务接待费支出决算与</w:t>
      </w:r>
      <w:r>
        <w:rPr>
          <w:rFonts w:ascii="仿宋_GB2312" w:hAnsi="Cambria" w:cs="仿宋_GB2312"/>
          <w:color w:val="000000"/>
          <w:sz w:val="32"/>
          <w:szCs w:val="32"/>
          <w:lang w:val="zh-CN"/>
        </w:rPr>
        <w:t>202</w:t>
      </w:r>
      <w:r>
        <w:rPr>
          <w:rFonts w:hint="eastAsia" w:ascii="仿宋_GB2312" w:hAnsi="Cambria" w:cs="仿宋_GB2312"/>
          <w:color w:val="000000"/>
          <w:sz w:val="32"/>
          <w:szCs w:val="32"/>
          <w:lang w:val="zh-CN"/>
        </w:rPr>
        <w:t>2年一致。其中：</w:t>
      </w:r>
    </w:p>
    <w:p>
      <w:pPr>
        <w:keepNext/>
        <w:keepLines/>
        <w:spacing w:line="576" w:lineRule="exact"/>
        <w:ind w:firstLine="643"/>
        <w:rPr>
          <w:rFonts w:ascii="仿宋_GB2312" w:hAnsi="Cambria" w:cs="仿宋_GB2312"/>
          <w:color w:val="000000"/>
          <w:sz w:val="32"/>
          <w:szCs w:val="32"/>
        </w:rPr>
      </w:pPr>
      <w:r>
        <w:rPr>
          <w:rFonts w:hint="eastAsia" w:ascii="仿宋_GB2312" w:hAnsi="Cambria" w:cs="仿宋_GB2312"/>
          <w:b/>
          <w:bCs/>
          <w:color w:val="000000"/>
          <w:sz w:val="32"/>
          <w:szCs w:val="32"/>
          <w:lang w:val="zh-CN"/>
        </w:rPr>
        <w:t>国内公务接待</w:t>
      </w:r>
      <w:r>
        <w:rPr>
          <w:rFonts w:hint="eastAsia" w:ascii="仿宋_GB2312" w:hAnsi="Cambria" w:cs="仿宋_GB2312"/>
          <w:color w:val="000000"/>
          <w:sz w:val="32"/>
          <w:szCs w:val="32"/>
          <w:lang w:val="zh-CN"/>
        </w:rPr>
        <w:t>支出0万元。</w:t>
      </w:r>
      <w:r>
        <w:rPr>
          <w:rFonts w:hint="eastAsia" w:ascii="仿宋_GB2312"/>
          <w:color w:val="000000"/>
          <w:sz w:val="32"/>
          <w:szCs w:val="32"/>
        </w:rPr>
        <w:t>国内公务接待0批次，0人次，共计支出0万元</w:t>
      </w:r>
    </w:p>
    <w:p>
      <w:pPr>
        <w:autoSpaceDE w:val="0"/>
        <w:autoSpaceDN w:val="0"/>
        <w:ind w:firstLine="642" w:firstLineChars="200"/>
        <w:rPr>
          <w:rFonts w:eastAsia="仿宋"/>
          <w:color w:val="000000"/>
          <w:sz w:val="32"/>
          <w:szCs w:val="32"/>
        </w:rPr>
      </w:pPr>
      <w:r>
        <w:rPr>
          <w:rFonts w:hint="eastAsia" w:ascii="仿宋_GB2312" w:hAnsi="Cambria" w:cs="仿宋_GB2312"/>
          <w:b/>
          <w:bCs/>
          <w:color w:val="000000"/>
          <w:sz w:val="32"/>
          <w:szCs w:val="32"/>
          <w:lang w:val="zh-CN"/>
        </w:rPr>
        <w:t>外事接待</w:t>
      </w:r>
      <w:r>
        <w:rPr>
          <w:rFonts w:hint="eastAsia" w:ascii="仿宋_GB2312" w:hAnsi="Cambria" w:cs="仿宋_GB2312"/>
          <w:color w:val="000000"/>
          <w:sz w:val="32"/>
          <w:szCs w:val="32"/>
          <w:lang w:val="zh-CN"/>
        </w:rPr>
        <w:t>支出</w:t>
      </w:r>
      <w:r>
        <w:rPr>
          <w:rFonts w:ascii="仿宋_GB2312" w:hAnsi="Cambria" w:cs="仿宋_GB2312"/>
          <w:color w:val="000000"/>
          <w:sz w:val="32"/>
          <w:szCs w:val="32"/>
          <w:lang w:val="zh-CN"/>
        </w:rPr>
        <w:t>0</w:t>
      </w:r>
      <w:r>
        <w:rPr>
          <w:rFonts w:hint="eastAsia" w:ascii="仿宋_GB2312" w:hAnsi="Cambria" w:cs="仿宋_GB2312"/>
          <w:color w:val="000000"/>
          <w:sz w:val="32"/>
          <w:szCs w:val="32"/>
          <w:lang w:val="zh-CN"/>
        </w:rPr>
        <w:t>万元。外事接待</w:t>
      </w:r>
      <w:r>
        <w:rPr>
          <w:rFonts w:ascii="仿宋_GB2312" w:hAnsi="Cambria" w:cs="仿宋_GB2312"/>
          <w:color w:val="000000"/>
          <w:sz w:val="32"/>
          <w:szCs w:val="32"/>
          <w:lang w:val="zh-CN"/>
        </w:rPr>
        <w:t>0</w:t>
      </w:r>
      <w:r>
        <w:rPr>
          <w:rFonts w:hint="eastAsia" w:ascii="仿宋_GB2312" w:hAnsi="Cambria" w:cs="仿宋_GB2312"/>
          <w:color w:val="000000"/>
          <w:sz w:val="32"/>
          <w:szCs w:val="32"/>
          <w:lang w:val="zh-CN"/>
        </w:rPr>
        <w:t>批次，</w:t>
      </w:r>
      <w:r>
        <w:rPr>
          <w:rFonts w:ascii="仿宋_GB2312" w:hAnsi="Cambria" w:cs="仿宋_GB2312"/>
          <w:color w:val="000000"/>
          <w:sz w:val="32"/>
          <w:szCs w:val="32"/>
          <w:lang w:val="zh-CN"/>
        </w:rPr>
        <w:t>0</w:t>
      </w:r>
      <w:r>
        <w:rPr>
          <w:rFonts w:hint="eastAsia" w:ascii="仿宋_GB2312" w:hAnsi="Cambria" w:cs="仿宋_GB2312"/>
          <w:color w:val="000000"/>
          <w:sz w:val="32"/>
          <w:szCs w:val="32"/>
          <w:lang w:val="zh-CN"/>
        </w:rPr>
        <w:t>人，共计支出</w:t>
      </w:r>
      <w:r>
        <w:rPr>
          <w:rFonts w:ascii="仿宋_GB2312" w:hAnsi="Cambria" w:cs="仿宋_GB2312"/>
          <w:color w:val="000000"/>
          <w:sz w:val="32"/>
          <w:szCs w:val="32"/>
          <w:lang w:val="zh-CN"/>
        </w:rPr>
        <w:t>0</w:t>
      </w:r>
      <w:r>
        <w:rPr>
          <w:rFonts w:hint="eastAsia" w:ascii="仿宋_GB2312" w:hAnsi="Cambria" w:cs="仿宋_GB2312"/>
          <w:color w:val="000000"/>
          <w:sz w:val="32"/>
          <w:szCs w:val="32"/>
          <w:lang w:val="zh-CN"/>
        </w:rPr>
        <w:t>万元。</w:t>
      </w:r>
    </w:p>
    <w:p>
      <w:pPr>
        <w:spacing w:line="600" w:lineRule="exact"/>
        <w:ind w:firstLine="640"/>
        <w:outlineLvl w:val="1"/>
        <w:rPr>
          <w:rStyle w:val="35"/>
          <w:rFonts w:ascii="黑体" w:hAnsi="黑体" w:eastAsia="黑体"/>
        </w:rPr>
      </w:pPr>
      <w:bookmarkStart w:id="83" w:name="_Toc148972675"/>
      <w:bookmarkStart w:id="84" w:name="_Toc113474487"/>
      <w:bookmarkStart w:id="85" w:name="_Toc15396610"/>
      <w:bookmarkStart w:id="86" w:name="_Toc15377218"/>
      <w:r>
        <w:rPr>
          <w:rFonts w:hint="eastAsia" w:ascii="黑体" w:eastAsia="黑体"/>
          <w:color w:val="000000"/>
          <w:sz w:val="32"/>
          <w:szCs w:val="32"/>
        </w:rPr>
        <w:t>八、</w:t>
      </w:r>
      <w:r>
        <w:rPr>
          <w:rStyle w:val="35"/>
          <w:rFonts w:hint="eastAsia" w:ascii="黑体" w:hAnsi="黑体" w:eastAsia="黑体"/>
        </w:rPr>
        <w:t>政府性基金预算支出决算情况说明</w:t>
      </w:r>
      <w:bookmarkEnd w:id="83"/>
      <w:bookmarkEnd w:id="84"/>
      <w:bookmarkEnd w:id="85"/>
      <w:bookmarkEnd w:id="86"/>
    </w:p>
    <w:p>
      <w:pPr>
        <w:autoSpaceDE w:val="0"/>
        <w:autoSpaceDN w:val="0"/>
        <w:ind w:firstLine="640" w:firstLineChars="200"/>
        <w:rPr>
          <w:rFonts w:eastAsia="仿宋"/>
          <w:color w:val="000000"/>
          <w:sz w:val="32"/>
          <w:szCs w:val="32"/>
        </w:rPr>
      </w:pPr>
      <w:r>
        <w:rPr>
          <w:rFonts w:eastAsia="仿宋"/>
          <w:color w:val="000000"/>
          <w:sz w:val="32"/>
          <w:szCs w:val="32"/>
        </w:rPr>
        <w:t>202</w:t>
      </w:r>
      <w:r>
        <w:rPr>
          <w:rFonts w:hint="eastAsia" w:eastAsia="仿宋"/>
          <w:color w:val="000000"/>
          <w:sz w:val="32"/>
          <w:szCs w:val="32"/>
        </w:rPr>
        <w:t>3年政府性基金预算拨款支出</w:t>
      </w:r>
      <w:r>
        <w:rPr>
          <w:rFonts w:eastAsia="仿宋"/>
          <w:color w:val="000000"/>
          <w:sz w:val="32"/>
          <w:szCs w:val="32"/>
        </w:rPr>
        <w:t>0</w:t>
      </w:r>
      <w:r>
        <w:rPr>
          <w:rFonts w:hint="eastAsia" w:eastAsia="仿宋"/>
          <w:color w:val="000000"/>
          <w:sz w:val="32"/>
          <w:szCs w:val="32"/>
        </w:rPr>
        <w:t>万元。</w:t>
      </w:r>
    </w:p>
    <w:p>
      <w:pPr>
        <w:numPr>
          <w:ilvl w:val="0"/>
          <w:numId w:val="2"/>
        </w:numPr>
        <w:spacing w:line="600" w:lineRule="exact"/>
        <w:ind w:firstLine="640"/>
        <w:outlineLvl w:val="1"/>
        <w:rPr>
          <w:rStyle w:val="35"/>
          <w:rFonts w:ascii="黑体" w:hAnsi="黑体" w:eastAsia="黑体"/>
          <w:b w:val="0"/>
        </w:rPr>
      </w:pPr>
      <w:bookmarkStart w:id="87" w:name="_Toc148972676"/>
      <w:bookmarkStart w:id="88" w:name="_Toc113474488"/>
      <w:bookmarkStart w:id="89" w:name="_Toc15396611"/>
      <w:bookmarkStart w:id="90" w:name="_Toc15377219"/>
      <w:r>
        <w:rPr>
          <w:rStyle w:val="35"/>
          <w:rFonts w:hint="eastAsia" w:ascii="黑体" w:hAnsi="黑体" w:eastAsia="黑体"/>
        </w:rPr>
        <w:t>国有资本经营预算支出决算情况说明</w:t>
      </w:r>
      <w:bookmarkEnd w:id="87"/>
      <w:bookmarkEnd w:id="88"/>
      <w:bookmarkEnd w:id="89"/>
      <w:bookmarkEnd w:id="90"/>
    </w:p>
    <w:p>
      <w:pPr>
        <w:autoSpaceDE w:val="0"/>
        <w:autoSpaceDN w:val="0"/>
        <w:ind w:firstLine="640" w:firstLineChars="200"/>
        <w:rPr>
          <w:rFonts w:eastAsia="仿宋"/>
          <w:color w:val="000000"/>
          <w:sz w:val="32"/>
          <w:szCs w:val="32"/>
        </w:rPr>
      </w:pPr>
      <w:r>
        <w:rPr>
          <w:rFonts w:eastAsia="仿宋"/>
          <w:color w:val="000000"/>
          <w:sz w:val="32"/>
          <w:szCs w:val="32"/>
        </w:rPr>
        <w:t>202</w:t>
      </w:r>
      <w:r>
        <w:rPr>
          <w:rFonts w:hint="eastAsia" w:eastAsia="仿宋"/>
          <w:color w:val="000000"/>
          <w:sz w:val="32"/>
          <w:szCs w:val="32"/>
        </w:rPr>
        <w:t>3年国有资本经营预算拨款支出</w:t>
      </w:r>
      <w:r>
        <w:rPr>
          <w:rFonts w:eastAsia="仿宋"/>
          <w:color w:val="000000"/>
          <w:sz w:val="32"/>
          <w:szCs w:val="32"/>
        </w:rPr>
        <w:t>0</w:t>
      </w:r>
      <w:r>
        <w:rPr>
          <w:rFonts w:hint="eastAsia" w:eastAsia="仿宋"/>
          <w:color w:val="000000"/>
          <w:sz w:val="32"/>
          <w:szCs w:val="32"/>
        </w:rPr>
        <w:t>万元。</w:t>
      </w:r>
    </w:p>
    <w:p>
      <w:pPr>
        <w:spacing w:line="600" w:lineRule="exact"/>
        <w:ind w:firstLine="642" w:firstLineChars="200"/>
        <w:outlineLvl w:val="1"/>
        <w:rPr>
          <w:rStyle w:val="35"/>
          <w:rFonts w:ascii="黑体" w:hAnsi="黑体" w:eastAsia="黑体"/>
        </w:rPr>
      </w:pPr>
      <w:bookmarkStart w:id="91" w:name="_Toc15396612"/>
      <w:bookmarkStart w:id="92" w:name="_Toc15377221"/>
      <w:bookmarkStart w:id="93" w:name="_Toc148972677"/>
      <w:bookmarkStart w:id="94" w:name="_Toc113474489"/>
      <w:r>
        <w:rPr>
          <w:rStyle w:val="35"/>
          <w:rFonts w:hint="eastAsia" w:ascii="黑体" w:hAnsi="黑体" w:eastAsia="黑体"/>
        </w:rPr>
        <w:t>十、其他重要事项的情况说明</w:t>
      </w:r>
      <w:bookmarkEnd w:id="91"/>
      <w:bookmarkEnd w:id="92"/>
      <w:bookmarkEnd w:id="93"/>
      <w:bookmarkEnd w:id="94"/>
    </w:p>
    <w:p>
      <w:pPr>
        <w:autoSpaceDE w:val="0"/>
        <w:autoSpaceDN w:val="0"/>
        <w:ind w:firstLine="642" w:firstLineChars="200"/>
        <w:rPr>
          <w:rFonts w:eastAsia="仿宋"/>
          <w:b/>
          <w:color w:val="000000"/>
          <w:sz w:val="32"/>
          <w:szCs w:val="32"/>
        </w:rPr>
      </w:pPr>
      <w:bookmarkStart w:id="95" w:name="_Toc15377222"/>
      <w:r>
        <w:rPr>
          <w:rFonts w:hint="eastAsia" w:eastAsia="仿宋"/>
          <w:b/>
          <w:color w:val="000000"/>
          <w:sz w:val="32"/>
          <w:szCs w:val="32"/>
        </w:rPr>
        <w:t>（一）机关运行经费支出情况</w:t>
      </w:r>
      <w:bookmarkEnd w:id="95"/>
    </w:p>
    <w:p>
      <w:pPr>
        <w:autoSpaceDE w:val="0"/>
        <w:autoSpaceDN w:val="0"/>
        <w:ind w:firstLine="640" w:firstLineChars="200"/>
        <w:rPr>
          <w:rFonts w:eastAsia="仿宋"/>
          <w:color w:val="000000"/>
          <w:sz w:val="32"/>
          <w:szCs w:val="32"/>
        </w:rPr>
      </w:pPr>
      <w:r>
        <w:rPr>
          <w:rFonts w:eastAsia="仿宋"/>
          <w:color w:val="000000"/>
          <w:sz w:val="32"/>
          <w:szCs w:val="32"/>
        </w:rPr>
        <w:t>202</w:t>
      </w:r>
      <w:r>
        <w:rPr>
          <w:rFonts w:hint="eastAsia" w:eastAsia="仿宋"/>
          <w:color w:val="000000"/>
          <w:sz w:val="32"/>
          <w:szCs w:val="32"/>
        </w:rPr>
        <w:t>3年，攀枝花市仁和区金江中小学机关运行经费支出0万元，与</w:t>
      </w:r>
      <w:r>
        <w:rPr>
          <w:rFonts w:eastAsia="仿宋"/>
          <w:color w:val="000000"/>
          <w:sz w:val="32"/>
          <w:szCs w:val="32"/>
        </w:rPr>
        <w:t>202</w:t>
      </w:r>
      <w:r>
        <w:rPr>
          <w:rFonts w:hint="eastAsia" w:eastAsia="仿宋"/>
          <w:color w:val="000000"/>
          <w:sz w:val="32"/>
          <w:szCs w:val="32"/>
        </w:rPr>
        <w:t>2年决算数持平。</w:t>
      </w:r>
    </w:p>
    <w:p>
      <w:pPr>
        <w:autoSpaceDE w:val="0"/>
        <w:autoSpaceDN w:val="0"/>
        <w:adjustRightInd w:val="0"/>
        <w:spacing w:line="600" w:lineRule="exact"/>
        <w:ind w:firstLine="642" w:firstLineChars="200"/>
        <w:jc w:val="left"/>
        <w:outlineLvl w:val="2"/>
        <w:rPr>
          <w:rFonts w:eastAsia="仿宋"/>
          <w:b/>
          <w:color w:val="000000" w:themeColor="text1"/>
          <w:sz w:val="32"/>
          <w:szCs w:val="32"/>
        </w:rPr>
      </w:pPr>
      <w:bookmarkStart w:id="96" w:name="_Toc148972678"/>
      <w:bookmarkStart w:id="97" w:name="_Toc15377223"/>
      <w:r>
        <w:rPr>
          <w:rFonts w:eastAsia="仿宋"/>
          <w:b/>
          <w:color w:val="000000" w:themeColor="text1"/>
          <w:sz w:val="32"/>
          <w:szCs w:val="32"/>
        </w:rPr>
        <w:t>（二）政府采购支出情况</w:t>
      </w:r>
      <w:bookmarkEnd w:id="96"/>
      <w:bookmarkEnd w:id="97"/>
    </w:p>
    <w:p>
      <w:pPr>
        <w:autoSpaceDE w:val="0"/>
        <w:autoSpaceDN w:val="0"/>
        <w:ind w:firstLine="640" w:firstLineChars="200"/>
        <w:rPr>
          <w:rFonts w:eastAsia="仿宋"/>
          <w:b/>
          <w:color w:val="000000"/>
          <w:sz w:val="32"/>
          <w:szCs w:val="32"/>
        </w:rPr>
      </w:pPr>
      <w:r>
        <w:rPr>
          <w:rFonts w:hint="eastAsia" w:eastAsia="仿宋"/>
          <w:color w:val="000000"/>
          <w:sz w:val="32"/>
          <w:szCs w:val="32"/>
        </w:rPr>
        <w:t>2023年，四川省攀枝花市仁和区金江中小学政府采购支出总额28.39万元，其中：政府采购货物支出28.39万元、政府采购工程支出0万元、政府采购服务支出0万元。授予中小企业合同金额28.39万元，占政府采购支出总额的100%，其中：授予小微企业合同金额28.39万元，占政府采购支出总额的100%。</w:t>
      </w:r>
    </w:p>
    <w:p>
      <w:pPr>
        <w:autoSpaceDE w:val="0"/>
        <w:autoSpaceDN w:val="0"/>
        <w:ind w:firstLine="642" w:firstLineChars="200"/>
        <w:rPr>
          <w:rFonts w:eastAsia="仿宋"/>
          <w:b/>
          <w:color w:val="000000"/>
          <w:sz w:val="32"/>
          <w:szCs w:val="32"/>
        </w:rPr>
      </w:pPr>
      <w:bookmarkStart w:id="98" w:name="_Toc15377224"/>
      <w:r>
        <w:rPr>
          <w:rFonts w:hint="eastAsia" w:eastAsia="仿宋"/>
          <w:b/>
          <w:color w:val="000000"/>
          <w:sz w:val="32"/>
          <w:szCs w:val="32"/>
        </w:rPr>
        <w:t>（三）国有资产占有使用情况</w:t>
      </w:r>
      <w:bookmarkEnd w:id="98"/>
    </w:p>
    <w:p>
      <w:pPr>
        <w:autoSpaceDE w:val="0"/>
        <w:autoSpaceDN w:val="0"/>
        <w:adjustRightInd w:val="0"/>
        <w:spacing w:line="600" w:lineRule="exact"/>
        <w:ind w:firstLine="640" w:firstLineChars="200"/>
        <w:jc w:val="left"/>
        <w:rPr>
          <w:rFonts w:eastAsia="仿宋"/>
          <w:color w:val="000000"/>
          <w:sz w:val="32"/>
          <w:szCs w:val="32"/>
        </w:rPr>
      </w:pPr>
      <w:r>
        <w:rPr>
          <w:rFonts w:hint="eastAsia" w:eastAsia="仿宋"/>
          <w:color w:val="000000"/>
          <w:sz w:val="32"/>
          <w:szCs w:val="32"/>
        </w:rPr>
        <w:t>截至</w:t>
      </w:r>
      <w:r>
        <w:rPr>
          <w:rFonts w:eastAsia="仿宋"/>
          <w:color w:val="000000"/>
          <w:sz w:val="32"/>
          <w:szCs w:val="32"/>
        </w:rPr>
        <w:t>202</w:t>
      </w:r>
      <w:r>
        <w:rPr>
          <w:rFonts w:hint="eastAsia" w:eastAsia="仿宋"/>
          <w:color w:val="000000"/>
          <w:sz w:val="32"/>
          <w:szCs w:val="32"/>
        </w:rPr>
        <w:t>3年</w:t>
      </w:r>
      <w:r>
        <w:rPr>
          <w:rFonts w:eastAsia="仿宋"/>
          <w:color w:val="000000"/>
          <w:sz w:val="32"/>
          <w:szCs w:val="32"/>
        </w:rPr>
        <w:t>12</w:t>
      </w:r>
      <w:r>
        <w:rPr>
          <w:rFonts w:hint="eastAsia" w:eastAsia="仿宋"/>
          <w:color w:val="000000"/>
          <w:sz w:val="32"/>
          <w:szCs w:val="32"/>
        </w:rPr>
        <w:t>月</w:t>
      </w:r>
      <w:r>
        <w:rPr>
          <w:rFonts w:eastAsia="仿宋"/>
          <w:color w:val="000000"/>
          <w:sz w:val="32"/>
          <w:szCs w:val="32"/>
        </w:rPr>
        <w:t>31</w:t>
      </w:r>
      <w:r>
        <w:rPr>
          <w:rFonts w:hint="eastAsia" w:eastAsia="仿宋"/>
          <w:color w:val="000000"/>
          <w:sz w:val="32"/>
          <w:szCs w:val="32"/>
        </w:rPr>
        <w:t>日，攀枝花市仁和区金江中小学共有车辆2辆，其中：副部（省）级及以上领导用车0辆、主要领导干部用车0辆、机要通信用车0辆、应急保障用车0辆、执法执勤用车0辆、特种专业技术用车0辆、离退休干部用车0辆、其他用车2辆（2016年清产核资是已达报废车辆。手续已办完，等下报废批文）。单价100万元（含）以上设备0台（套)。</w:t>
      </w:r>
    </w:p>
    <w:p>
      <w:pPr>
        <w:autoSpaceDE w:val="0"/>
        <w:autoSpaceDN w:val="0"/>
        <w:ind w:firstLine="642" w:firstLineChars="200"/>
        <w:rPr>
          <w:rFonts w:eastAsia="仿宋"/>
          <w:b/>
          <w:color w:val="000000"/>
          <w:sz w:val="32"/>
          <w:szCs w:val="32"/>
        </w:rPr>
      </w:pPr>
      <w:r>
        <w:rPr>
          <w:rFonts w:hint="eastAsia" w:eastAsia="仿宋"/>
          <w:b/>
          <w:color w:val="000000"/>
          <w:sz w:val="32"/>
          <w:szCs w:val="32"/>
        </w:rPr>
        <w:t>（四）预算绩效管理情况。</w:t>
      </w:r>
    </w:p>
    <w:p>
      <w:pPr>
        <w:autoSpaceDE w:val="0"/>
        <w:autoSpaceDN w:val="0"/>
        <w:ind w:firstLine="640" w:firstLineChars="200"/>
        <w:rPr>
          <w:rFonts w:ascii="仿宋" w:hAnsi="仿宋" w:eastAsia="仿宋" w:cs="仿宋"/>
          <w:sz w:val="32"/>
          <w:szCs w:val="32"/>
        </w:rPr>
      </w:pPr>
      <w:r>
        <w:rPr>
          <w:rFonts w:hint="eastAsia" w:ascii="仿宋" w:hAnsi="仿宋" w:eastAsia="仿宋" w:cs="仿宋"/>
          <w:sz w:val="32"/>
          <w:szCs w:val="32"/>
        </w:rPr>
        <w:t>根据预算绩效管理要求，本单位在2023年度预算编制阶段，组织对学生营养餐、作业本费、劳务费、初中部计算机室标准化建设、教职工体检费，学生健康照明等21个项目开展了预算事前绩效评估，对1个项目编制了绩效目标，预算执行过程中，选取1个项目开展绩效监控，年终执行完毕后，对1个项目开展了绩效自评，</w:t>
      </w:r>
    </w:p>
    <w:p>
      <w:pPr>
        <w:autoSpaceDE w:val="0"/>
        <w:autoSpaceDN w:val="0"/>
        <w:ind w:firstLine="640" w:firstLineChars="200"/>
        <w:rPr>
          <w:rFonts w:eastAsia="仿宋"/>
          <w:b/>
          <w:color w:val="000000"/>
          <w:sz w:val="32"/>
          <w:szCs w:val="32"/>
        </w:rPr>
      </w:pPr>
      <w:r>
        <w:rPr>
          <w:rFonts w:hint="eastAsia" w:ascii="仿宋_GB2312"/>
          <w:sz w:val="32"/>
          <w:szCs w:val="32"/>
        </w:rPr>
        <w:t>绩效自评表详见第四部分附件。</w:t>
      </w:r>
    </w:p>
    <w:p>
      <w:pPr>
        <w:widowControl/>
        <w:jc w:val="left"/>
        <w:rPr>
          <w:kern w:val="0"/>
          <w:szCs w:val="21"/>
        </w:rPr>
      </w:pPr>
      <w:r>
        <w:rPr>
          <w:kern w:val="0"/>
          <w:szCs w:val="21"/>
        </w:rPr>
        <w:br w:type="page"/>
      </w:r>
    </w:p>
    <w:p>
      <w:pPr>
        <w:numPr>
          <w:ilvl w:val="0"/>
          <w:numId w:val="3"/>
        </w:numPr>
        <w:spacing w:line="600" w:lineRule="exact"/>
        <w:ind w:firstLine="660" w:firstLineChars="150"/>
        <w:jc w:val="center"/>
        <w:outlineLvl w:val="0"/>
        <w:rPr>
          <w:rStyle w:val="26"/>
          <w:rFonts w:eastAsia="黑体"/>
          <w:b w:val="0"/>
        </w:rPr>
      </w:pPr>
      <w:bookmarkStart w:id="99" w:name="_Toc15377225"/>
      <w:bookmarkStart w:id="100" w:name="_Toc18554"/>
      <w:bookmarkStart w:id="101" w:name="_Toc15396613"/>
      <w:bookmarkStart w:id="102" w:name="_Toc148972679"/>
      <w:bookmarkStart w:id="103" w:name="_Toc113474490"/>
      <w:r>
        <w:rPr>
          <w:rFonts w:eastAsia="黑体"/>
          <w:color w:val="000000"/>
          <w:sz w:val="44"/>
          <w:szCs w:val="44"/>
        </w:rPr>
        <w:t>名</w:t>
      </w:r>
      <w:r>
        <w:rPr>
          <w:rStyle w:val="26"/>
          <w:rFonts w:eastAsia="黑体"/>
          <w:b w:val="0"/>
        </w:rPr>
        <w:t>词解释</w:t>
      </w:r>
      <w:bookmarkEnd w:id="99"/>
      <w:bookmarkEnd w:id="100"/>
      <w:bookmarkEnd w:id="101"/>
      <w:bookmarkEnd w:id="102"/>
      <w:bookmarkEnd w:id="103"/>
    </w:p>
    <w:p>
      <w:pPr>
        <w:spacing w:line="600" w:lineRule="exact"/>
        <w:jc w:val="left"/>
        <w:rPr>
          <w:b/>
          <w:color w:val="000000"/>
          <w:sz w:val="44"/>
          <w:szCs w:val="44"/>
        </w:rPr>
      </w:pPr>
    </w:p>
    <w:p>
      <w:pPr>
        <w:pStyle w:val="42"/>
        <w:spacing w:line="560" w:lineRule="exact"/>
        <w:ind w:firstLine="640" w:firstLineChars="200"/>
        <w:rPr>
          <w:rFonts w:ascii="仿宋_GB2312" w:eastAsia="仿宋_GB2312"/>
          <w:sz w:val="32"/>
          <w:szCs w:val="32"/>
        </w:rPr>
      </w:pPr>
      <w:bookmarkStart w:id="104" w:name="_Toc15396614"/>
      <w:bookmarkStart w:id="105" w:name="_Toc10232"/>
      <w:bookmarkStart w:id="106" w:name="_Toc15377226"/>
      <w:r>
        <w:rPr>
          <w:rFonts w:ascii="仿宋_GB2312" w:eastAsia="仿宋_GB2312"/>
          <w:sz w:val="32"/>
          <w:szCs w:val="32"/>
        </w:rPr>
        <w:t>1.</w:t>
      </w:r>
      <w:r>
        <w:rPr>
          <w:rFonts w:hint="eastAsia" w:ascii="仿宋_GB2312" w:eastAsia="仿宋_GB2312"/>
          <w:sz w:val="32"/>
          <w:szCs w:val="32"/>
        </w:rPr>
        <w:t>财政拨款收入：指单位从同级财政单位取得的财政预算资金。</w:t>
      </w:r>
    </w:p>
    <w:p>
      <w:pPr>
        <w:pStyle w:val="4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4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4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其他收入：指单位取得的除上述收入以外的各项收入。主要是银行利息收。</w:t>
      </w:r>
    </w:p>
    <w:p>
      <w:pPr>
        <w:pStyle w:val="4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4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4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4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rPr>
          <w:rFonts w:ascii="仿宋_GB2312"/>
          <w:color w:val="000000"/>
          <w:sz w:val="32"/>
          <w:szCs w:val="32"/>
        </w:rPr>
      </w:pPr>
      <w:r>
        <w:rPr>
          <w:rFonts w:hint="eastAsia" w:ascii="仿宋_GB2312"/>
          <w:color w:val="000000"/>
          <w:sz w:val="32"/>
          <w:szCs w:val="32"/>
        </w:rPr>
        <w:t>9.一般公共服务支出（类）宣传事务（款）其他宣传事务支出（项）: 指除上述项目以外其他用于中国共产党宣传单位的事务支出</w:t>
      </w:r>
    </w:p>
    <w:p>
      <w:pPr>
        <w:spacing w:line="600" w:lineRule="exact"/>
        <w:ind w:firstLine="640"/>
        <w:rPr>
          <w:rFonts w:ascii="仿宋_GB2312"/>
          <w:color w:val="000000"/>
          <w:sz w:val="32"/>
          <w:szCs w:val="32"/>
        </w:rPr>
      </w:pPr>
      <w:r>
        <w:rPr>
          <w:rFonts w:hint="eastAsia" w:ascii="仿宋_GB2312"/>
          <w:color w:val="000000"/>
          <w:sz w:val="32"/>
          <w:szCs w:val="32"/>
        </w:rPr>
        <w:t>10.教育支出（类）普通教育（款）小学教育（项）: 指各单位举办的小学教育支出。政府各单位对社会组织等举办的小学的资助、如捐赠、补贴等，也在本科目中反映。</w:t>
      </w:r>
    </w:p>
    <w:p>
      <w:pPr>
        <w:spacing w:line="600" w:lineRule="exact"/>
        <w:ind w:firstLine="640"/>
        <w:rPr>
          <w:rFonts w:ascii="仿宋_GB2312"/>
          <w:color w:val="000000"/>
          <w:sz w:val="32"/>
          <w:szCs w:val="32"/>
        </w:rPr>
      </w:pPr>
      <w:r>
        <w:rPr>
          <w:rFonts w:hint="eastAsia" w:ascii="仿宋_GB2312"/>
          <w:color w:val="000000"/>
          <w:sz w:val="32"/>
          <w:szCs w:val="32"/>
        </w:rPr>
        <w:t>11. 教育支出（类）普通教育（款）其他普通教育支出（项）: 指除上述项目以外的其他用于教育管理事务方面的支出。</w:t>
      </w:r>
    </w:p>
    <w:p>
      <w:pPr>
        <w:spacing w:line="600" w:lineRule="exact"/>
        <w:ind w:firstLine="640"/>
        <w:rPr>
          <w:rFonts w:ascii="仿宋_GB2312"/>
          <w:color w:val="000000"/>
          <w:sz w:val="32"/>
          <w:szCs w:val="32"/>
        </w:rPr>
      </w:pPr>
      <w:r>
        <w:rPr>
          <w:rFonts w:hint="eastAsia" w:ascii="仿宋_GB2312"/>
          <w:color w:val="000000"/>
          <w:sz w:val="32"/>
          <w:szCs w:val="32"/>
        </w:rPr>
        <w:t>12.教育支出（类）教育费附加安排的支出（款）其他教育费附加安排的支出（项）: 指除上述项目以外其他用于教育方面的支出。</w:t>
      </w:r>
    </w:p>
    <w:p>
      <w:pPr>
        <w:spacing w:line="600" w:lineRule="exact"/>
        <w:ind w:firstLine="640"/>
        <w:rPr>
          <w:rFonts w:ascii="仿宋_GB2312"/>
          <w:color w:val="000000"/>
          <w:sz w:val="32"/>
          <w:szCs w:val="32"/>
        </w:rPr>
      </w:pPr>
      <w:r>
        <w:rPr>
          <w:rFonts w:hint="eastAsia" w:ascii="仿宋_GB2312"/>
          <w:color w:val="000000"/>
          <w:sz w:val="32"/>
          <w:szCs w:val="32"/>
        </w:rPr>
        <w:t>13.社会保障和就业支出（类）行政事业单位养老支出（款）机关事业单位基本养老保险缴费支出（项）: 指机关事业单位实施养老保险制度由单位缴纳的基本养老保险费支出。</w:t>
      </w:r>
    </w:p>
    <w:p>
      <w:pPr>
        <w:spacing w:line="600" w:lineRule="exact"/>
        <w:ind w:firstLine="640"/>
        <w:rPr>
          <w:rFonts w:ascii="仿宋_GB2312"/>
          <w:color w:val="000000"/>
          <w:sz w:val="32"/>
          <w:szCs w:val="32"/>
        </w:rPr>
      </w:pPr>
      <w:r>
        <w:rPr>
          <w:rFonts w:hint="eastAsia" w:ascii="仿宋_GB2312"/>
          <w:color w:val="000000"/>
          <w:sz w:val="32"/>
          <w:szCs w:val="32"/>
        </w:rPr>
        <w:t>14.社会保障和就业支出（类）抚恤（款）死亡抚恤（项）: 指按规定用于烈士和牺牲、病故人员家属的一次性和定期抚恤金、丧葬补助费及烈士褒扬金。</w:t>
      </w:r>
    </w:p>
    <w:p>
      <w:pPr>
        <w:spacing w:line="600" w:lineRule="exact"/>
        <w:ind w:firstLine="640"/>
        <w:rPr>
          <w:rFonts w:ascii="仿宋" w:hAnsi="仿宋" w:eastAsia="仿宋"/>
          <w:i/>
          <w:color w:val="000000"/>
          <w:sz w:val="32"/>
          <w:szCs w:val="32"/>
        </w:rPr>
      </w:pPr>
      <w:r>
        <w:rPr>
          <w:rFonts w:hint="eastAsia" w:ascii="仿宋_GB2312"/>
          <w:color w:val="000000"/>
          <w:sz w:val="32"/>
          <w:szCs w:val="32"/>
        </w:rPr>
        <w:t>15.住房保障支出（类）住房改革支出（款）住房公积金（项）: 指行政事业单位按人力资源和社会保障部、财政部规定的基本工资和津贴补贴以及规定比例为职工缴纳的住房公积金。</w:t>
      </w:r>
    </w:p>
    <w:p>
      <w:pPr>
        <w:ind w:firstLine="640" w:firstLineChars="200"/>
        <w:rPr>
          <w:rFonts w:ascii="仿宋_GB2312"/>
          <w:color w:val="000000"/>
          <w:sz w:val="32"/>
          <w:szCs w:val="32"/>
        </w:rPr>
      </w:pPr>
      <w:r>
        <w:rPr>
          <w:rFonts w:hint="eastAsia" w:ascii="仿宋_GB2312"/>
          <w:color w:val="000000"/>
          <w:sz w:val="32"/>
          <w:szCs w:val="32"/>
        </w:rPr>
        <w:t>16</w:t>
      </w:r>
      <w:r>
        <w:rPr>
          <w:rFonts w:ascii="仿宋_GB2312"/>
          <w:color w:val="000000"/>
          <w:sz w:val="32"/>
          <w:szCs w:val="32"/>
        </w:rPr>
        <w:t>.</w:t>
      </w:r>
      <w:r>
        <w:rPr>
          <w:rFonts w:hint="eastAsia" w:ascii="仿宋_GB2312"/>
          <w:color w:val="000000"/>
          <w:sz w:val="32"/>
          <w:szCs w:val="32"/>
        </w:rPr>
        <w:t>基本支出：指为保障机构正常运转、完成日常工作任务而发生的人员支出和公用支出。</w:t>
      </w:r>
    </w:p>
    <w:p>
      <w:pPr>
        <w:ind w:firstLine="640" w:firstLineChars="200"/>
        <w:rPr>
          <w:rFonts w:ascii="仿宋_GB2312"/>
          <w:color w:val="000000"/>
          <w:sz w:val="32"/>
          <w:szCs w:val="32"/>
        </w:rPr>
      </w:pPr>
      <w:r>
        <w:rPr>
          <w:rFonts w:hint="eastAsia" w:ascii="仿宋_GB2312"/>
          <w:color w:val="000000"/>
          <w:sz w:val="32"/>
          <w:szCs w:val="32"/>
        </w:rPr>
        <w:t>17</w:t>
      </w:r>
      <w:r>
        <w:rPr>
          <w:rFonts w:ascii="仿宋_GB2312"/>
          <w:color w:val="000000"/>
          <w:sz w:val="32"/>
          <w:szCs w:val="32"/>
        </w:rPr>
        <w:t>.</w:t>
      </w:r>
      <w:r>
        <w:rPr>
          <w:rFonts w:hint="eastAsia" w:ascii="仿宋_GB2312"/>
          <w:color w:val="000000"/>
          <w:sz w:val="32"/>
          <w:szCs w:val="32"/>
        </w:rPr>
        <w:t>项目支出：指在基本支出之外为完成特定行政任务和事业发展目标所发生的支出。</w:t>
      </w:r>
    </w:p>
    <w:p>
      <w:pPr>
        <w:ind w:firstLine="640" w:firstLineChars="200"/>
        <w:rPr>
          <w:rFonts w:ascii="仿宋_GB2312"/>
          <w:color w:val="000000"/>
          <w:sz w:val="32"/>
          <w:szCs w:val="32"/>
        </w:rPr>
      </w:pPr>
      <w:r>
        <w:rPr>
          <w:rFonts w:hint="eastAsia" w:ascii="仿宋_GB2312"/>
          <w:color w:val="000000"/>
          <w:sz w:val="32"/>
          <w:szCs w:val="32"/>
        </w:rPr>
        <w:t>18</w:t>
      </w:r>
      <w:r>
        <w:rPr>
          <w:rFonts w:ascii="仿宋_GB2312"/>
          <w:color w:val="000000"/>
          <w:sz w:val="32"/>
          <w:szCs w:val="32"/>
        </w:rPr>
        <w:t>.</w:t>
      </w:r>
      <w:r>
        <w:rPr>
          <w:rFonts w:hint="eastAsia" w:ascii="仿宋_GB2312"/>
          <w:color w:val="000000"/>
          <w:sz w:val="32"/>
          <w:szCs w:val="32"/>
        </w:rPr>
        <w:t>经营支出：指事业单位在专业业务活动及其辅助活动之外开展非独立核算经营活动发生的支出。</w:t>
      </w:r>
    </w:p>
    <w:p>
      <w:pPr>
        <w:pStyle w:val="42"/>
        <w:spacing w:line="560" w:lineRule="exact"/>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2"/>
        <w:spacing w:before="93" w:line="560" w:lineRule="exact"/>
        <w:ind w:firstLine="640" w:firstLineChars="200"/>
        <w:rPr>
          <w:rFonts w:ascii="Times New Roman" w:eastAsia="仿宋_GB2312" w:cs="Times New Roman"/>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1280" w:firstLineChars="400"/>
        <w:outlineLvl w:val="0"/>
        <w:rPr>
          <w:color w:val="000000"/>
          <w:kern w:val="0"/>
          <w:sz w:val="32"/>
          <w:szCs w:val="32"/>
        </w:rPr>
      </w:pPr>
    </w:p>
    <w:p>
      <w:pPr>
        <w:widowControl/>
        <w:jc w:val="left"/>
        <w:rPr>
          <w:rFonts w:eastAsia="黑体"/>
          <w:color w:val="000000"/>
          <w:sz w:val="44"/>
          <w:szCs w:val="44"/>
        </w:rPr>
      </w:pPr>
      <w:r>
        <w:rPr>
          <w:rFonts w:eastAsia="黑体"/>
          <w:color w:val="000000"/>
          <w:sz w:val="44"/>
          <w:szCs w:val="44"/>
        </w:rPr>
        <w:br w:type="page"/>
      </w:r>
    </w:p>
    <w:bookmarkEnd w:id="104"/>
    <w:bookmarkEnd w:id="105"/>
    <w:bookmarkEnd w:id="106"/>
    <w:p>
      <w:pPr>
        <w:spacing w:line="600" w:lineRule="exact"/>
        <w:jc w:val="center"/>
        <w:outlineLvl w:val="0"/>
        <w:rPr>
          <w:rStyle w:val="26"/>
          <w:rFonts w:ascii="黑体" w:hAnsi="黑体" w:eastAsia="黑体"/>
        </w:rPr>
      </w:pPr>
      <w:bookmarkStart w:id="107" w:name="_Toc15396618"/>
      <w:bookmarkStart w:id="108" w:name="_Toc113474493"/>
      <w:r>
        <w:rPr>
          <w:rFonts w:hint="eastAsia" w:ascii="黑体" w:hAnsi="黑体" w:eastAsia="黑体"/>
          <w:sz w:val="44"/>
          <w:szCs w:val="44"/>
        </w:rPr>
        <w:t>第</w:t>
      </w:r>
      <w:r>
        <w:rPr>
          <w:rStyle w:val="26"/>
          <w:rFonts w:hint="eastAsia" w:ascii="黑体" w:hAnsi="黑体" w:eastAsia="黑体"/>
        </w:rPr>
        <w:t>四部分 附件</w:t>
      </w:r>
    </w:p>
    <w:p>
      <w:pPr>
        <w:spacing w:line="572" w:lineRule="exact"/>
        <w:jc w:val="left"/>
        <w:outlineLvl w:val="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部门预算项目支出绩效自评表（2023年度）</w:t>
      </w:r>
    </w:p>
    <w:tbl>
      <w:tblPr>
        <w:tblStyle w:val="17"/>
        <w:tblW w:w="4998" w:type="pct"/>
        <w:tblInd w:w="0" w:type="dxa"/>
        <w:tblLayout w:type="autofit"/>
        <w:tblCellMar>
          <w:top w:w="0" w:type="dxa"/>
          <w:left w:w="108" w:type="dxa"/>
          <w:bottom w:w="0" w:type="dxa"/>
          <w:right w:w="108" w:type="dxa"/>
        </w:tblCellMar>
      </w:tblPr>
      <w:tblGrid>
        <w:gridCol w:w="576"/>
        <w:gridCol w:w="941"/>
        <w:gridCol w:w="798"/>
        <w:gridCol w:w="1226"/>
        <w:gridCol w:w="396"/>
        <w:gridCol w:w="756"/>
        <w:gridCol w:w="756"/>
        <w:gridCol w:w="861"/>
        <w:gridCol w:w="486"/>
        <w:gridCol w:w="486"/>
        <w:gridCol w:w="1237"/>
      </w:tblGrid>
      <w:tr>
        <w:trPr>
          <w:trHeight w:val="409" w:hRule="atLeast"/>
        </w:trPr>
        <w:tc>
          <w:tcPr>
            <w:tcW w:w="2077" w:type="pct"/>
            <w:gridSpan w:val="4"/>
            <w:tcBorders>
              <w:top w:val="nil"/>
              <w:left w:val="nil"/>
              <w:bottom w:val="nil"/>
              <w:right w:val="nil"/>
            </w:tcBorders>
            <w:shd w:val="clear" w:color="auto" w:fill="auto"/>
            <w:vAlign w:val="center"/>
          </w:tcPr>
          <w:p>
            <w:pPr>
              <w:widowControl/>
              <w:jc w:val="left"/>
              <w:textAlignment w:val="center"/>
              <w:rPr>
                <w:rFonts w:ascii="宋体" w:hAnsi="宋体" w:eastAsia="宋体" w:cs="宋体"/>
                <w:color w:val="C0C0C0"/>
                <w:sz w:val="20"/>
                <w:szCs w:val="20"/>
              </w:rPr>
            </w:pPr>
            <w:r>
              <w:rPr>
                <w:rFonts w:ascii="宋体" w:hAnsi="宋体" w:eastAsia="宋体" w:cs="宋体"/>
                <w:color w:val="C0C0C0"/>
                <w:kern w:val="0"/>
                <w:sz w:val="20"/>
                <w:szCs w:val="20"/>
              </w:rPr>
              <w:t>报表编号：510000_0013zp</w:t>
            </w:r>
          </w:p>
        </w:tc>
        <w:tc>
          <w:tcPr>
            <w:tcW w:w="232" w:type="pct"/>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385" w:type="pct"/>
            <w:gridSpan w:val="3"/>
            <w:tcBorders>
              <w:top w:val="nil"/>
              <w:left w:val="nil"/>
              <w:bottom w:val="nil"/>
              <w:right w:val="nil"/>
            </w:tcBorders>
            <w:shd w:val="clear" w:color="auto" w:fill="auto"/>
            <w:vAlign w:val="center"/>
          </w:tcPr>
          <w:p>
            <w:pPr>
              <w:rPr>
                <w:rFonts w:ascii="宋体" w:hAnsi="宋体" w:eastAsia="宋体" w:cs="宋体"/>
                <w:color w:val="000000"/>
                <w:sz w:val="20"/>
                <w:szCs w:val="20"/>
              </w:rPr>
            </w:pPr>
          </w:p>
        </w:tc>
        <w:tc>
          <w:tcPr>
            <w:tcW w:w="285" w:type="pct"/>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285" w:type="pct"/>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734" w:type="pct"/>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51040022T000005961864-城乡义务教育补助经费</w:t>
            </w:r>
          </w:p>
        </w:tc>
      </w:tr>
      <w:tr>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保为全面普及九年义务教育、实现县域内义务教育均衡发展提供了基础性保障。</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通过项目实施，保障了金江中小学每个学生的正常身体发育的需求，是利国利民的好事情。这一举措，减轻义务教育学生的家庭经济负担，是提高人口素质的重要措施</w:t>
            </w:r>
          </w:p>
        </w:tc>
      </w:tr>
      <w:tr>
        <w:tblPrEx>
          <w:tblCellMar>
            <w:top w:w="0" w:type="dxa"/>
            <w:left w:w="108" w:type="dxa"/>
            <w:bottom w:w="0" w:type="dxa"/>
            <w:right w:w="108" w:type="dxa"/>
          </w:tblCellMar>
        </w:tblPrEx>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保障</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小学每个学生的正常身体发育的需求，是利国利民的好事情。这一举措，减轻义务教育学生的家庭经济负担，是提高人口素质的重要措施</w:t>
            </w:r>
          </w:p>
        </w:tc>
      </w:tr>
      <w:tr>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50.22</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50.22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w:t>
            </w: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50.22</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50.22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w:t>
            </w: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50.22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50.22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50.22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因为供应商未及时提供发票。</w:t>
            </w:r>
          </w:p>
        </w:tc>
      </w:tr>
      <w:tr>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通过项目的实施，保障农村小学生营养需求，有益于学生健康全面的发展，是维护社会稳定，保障教育事业发展的大好事。</w:t>
            </w:r>
          </w:p>
        </w:tc>
      </w:tr>
      <w:tr>
        <w:tblPrEx>
          <w:tblCellMar>
            <w:top w:w="0" w:type="dxa"/>
            <w:left w:w="108" w:type="dxa"/>
            <w:bottom w:w="0" w:type="dxa"/>
            <w:right w:w="108" w:type="dxa"/>
          </w:tblCellMar>
        </w:tblPrEx>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blPrEx>
          <w:tblCellMar>
            <w:top w:w="0" w:type="dxa"/>
            <w:left w:w="108" w:type="dxa"/>
            <w:bottom w:w="0" w:type="dxa"/>
            <w:right w:w="108" w:type="dxa"/>
          </w:tblCellMar>
        </w:tblPrEx>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项目负责人：尹伟洁</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51048922R000005840162-退休医疗补助</w:t>
            </w:r>
          </w:p>
        </w:tc>
      </w:tr>
      <w:tr>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严格执行相关政策，保障工资及时发放、足额发放，预算编制科学合理，减少结余资金</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保障农村义务教育学校教职工的基本医疗保障政策落到实处</w:t>
            </w:r>
          </w:p>
        </w:tc>
      </w:tr>
      <w:tr>
        <w:tblPrEx>
          <w:tblCellMar>
            <w:top w:w="0" w:type="dxa"/>
            <w:left w:w="108" w:type="dxa"/>
            <w:bottom w:w="0" w:type="dxa"/>
            <w:right w:w="108" w:type="dxa"/>
          </w:tblCellMar>
        </w:tblPrEx>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保障农村义务教育学校教职工的医疗保障相关政策落到实处，确实维护教职工的合法权益</w:t>
            </w:r>
          </w:p>
        </w:tc>
      </w:tr>
      <w:tr>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3.68</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3.68</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3.68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3.68</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3.68</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3.68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发放（缴纳）覆盖率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3.68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足额保障率（参保率）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3.68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保障全校教职工及退休教职工的基本医疗保障政策落到实处，为维护教职工的合法权益保驾护航。</w:t>
            </w:r>
          </w:p>
        </w:tc>
      </w:tr>
      <w:tr>
        <w:tblPrEx>
          <w:tblCellMar>
            <w:top w:w="0" w:type="dxa"/>
            <w:left w:w="108" w:type="dxa"/>
            <w:bottom w:w="0" w:type="dxa"/>
            <w:right w:w="108" w:type="dxa"/>
          </w:tblCellMar>
        </w:tblPrEx>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blPrEx>
          <w:tblCellMar>
            <w:top w:w="0" w:type="dxa"/>
            <w:left w:w="108" w:type="dxa"/>
            <w:bottom w:w="0" w:type="dxa"/>
            <w:right w:w="108" w:type="dxa"/>
          </w:tblCellMar>
        </w:tblPrEx>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51048922R000005840213-退休公务员医保个人账户补充（事业）</w:t>
            </w:r>
          </w:p>
        </w:tc>
      </w:tr>
      <w:tr>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blPrEx>
          <w:tblCellMar>
            <w:top w:w="0" w:type="dxa"/>
            <w:left w:w="108" w:type="dxa"/>
            <w:bottom w:w="0" w:type="dxa"/>
            <w:right w:w="108" w:type="dxa"/>
          </w:tblCellMar>
        </w:tblPrEx>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严格执行相关政策，保障工资及时发放、足额发放，预算编制科学合理，减少结余资金</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保障农村义务教育学校教职工的医疗保障政策落到实处</w:t>
            </w:r>
          </w:p>
        </w:tc>
      </w:tr>
      <w:tr>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保障农村义务教育学校教职工的医疗保障相关政策落到实处，确实维护教职工的合法权益。</w:t>
            </w:r>
          </w:p>
        </w:tc>
      </w:tr>
      <w:tr>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blPrEx>
          <w:tblCellMar>
            <w:top w:w="0" w:type="dxa"/>
            <w:left w:w="108" w:type="dxa"/>
            <w:bottom w:w="0" w:type="dxa"/>
            <w:right w:w="108" w:type="dxa"/>
          </w:tblCellMar>
        </w:tblPrEx>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5.82</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5.82</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5.82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5.82</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5.82</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5.82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发放（缴纳）覆盖率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5.82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足额保障率（参保率）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5.82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保障农村义务教育学校教职工的医疗保障相关政策落到实处，确实维护教职工的合法权益。</w:t>
            </w:r>
          </w:p>
        </w:tc>
      </w:tr>
      <w:tr>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blPrEx>
          <w:tblCellMar>
            <w:top w:w="0" w:type="dxa"/>
            <w:left w:w="108" w:type="dxa"/>
            <w:bottom w:w="0" w:type="dxa"/>
            <w:right w:w="108" w:type="dxa"/>
          </w:tblCellMar>
        </w:tblPrEx>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blPrEx>
          <w:tblCellMar>
            <w:top w:w="0" w:type="dxa"/>
            <w:left w:w="108" w:type="dxa"/>
            <w:bottom w:w="0" w:type="dxa"/>
            <w:right w:w="108" w:type="dxa"/>
          </w:tblCellMar>
        </w:tblPrEx>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51048922R000005840346-公务员医保个人账户补充（事业）</w:t>
            </w:r>
          </w:p>
        </w:tc>
      </w:tr>
      <w:tr>
        <w:tblPrEx>
          <w:tblCellMar>
            <w:top w:w="0" w:type="dxa"/>
            <w:left w:w="108" w:type="dxa"/>
            <w:bottom w:w="0" w:type="dxa"/>
            <w:right w:w="108" w:type="dxa"/>
          </w:tblCellMar>
        </w:tblPrEx>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blPrEx>
          <w:tblCellMar>
            <w:top w:w="0" w:type="dxa"/>
            <w:left w:w="108" w:type="dxa"/>
            <w:bottom w:w="0" w:type="dxa"/>
            <w:right w:w="108" w:type="dxa"/>
          </w:tblCellMar>
        </w:tblPrEx>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严格执行相关政策，保障工资及时发放、足额发放，预算编制科学合理，减少结余资金</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保障农村义务教育学校教职工的医疗保障相关政策落到实处，确实维护教职工的合法权益。</w:t>
            </w:r>
          </w:p>
        </w:tc>
      </w:tr>
      <w:tr>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保障农村义务教育学校教职工的医疗保障相关政策落到实处，确实维护教职工的合法权益。</w:t>
            </w:r>
          </w:p>
        </w:tc>
      </w:tr>
      <w:tr>
        <w:tblPrEx>
          <w:tblCellMar>
            <w:top w:w="0" w:type="dxa"/>
            <w:left w:w="108" w:type="dxa"/>
            <w:bottom w:w="0" w:type="dxa"/>
            <w:right w:w="108" w:type="dxa"/>
          </w:tblCellMar>
        </w:tblPrEx>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blPrEx>
          <w:tblCellMar>
            <w:top w:w="0" w:type="dxa"/>
            <w:left w:w="108" w:type="dxa"/>
            <w:bottom w:w="0" w:type="dxa"/>
            <w:right w:w="108" w:type="dxa"/>
          </w:tblCellMar>
        </w:tblPrEx>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46.62</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46.62</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46.62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46.62</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46.62</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46.62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发放（缴纳）覆盖率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46.62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足额保障率（参保率）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46.62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保障农村义务教育学校教职工的医疗保障相关政策落到实处，确实维护教职工的合法权益。</w:t>
            </w:r>
          </w:p>
        </w:tc>
      </w:tr>
      <w:tr>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blPrEx>
          <w:tblCellMar>
            <w:top w:w="0" w:type="dxa"/>
            <w:left w:w="108" w:type="dxa"/>
            <w:bottom w:w="0" w:type="dxa"/>
            <w:right w:w="108" w:type="dxa"/>
          </w:tblCellMar>
        </w:tblPrEx>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blPrEx>
          <w:tblCellMar>
            <w:top w:w="0" w:type="dxa"/>
            <w:left w:w="108" w:type="dxa"/>
            <w:bottom w:w="0" w:type="dxa"/>
            <w:right w:w="108" w:type="dxa"/>
          </w:tblCellMar>
        </w:tblPrEx>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51048922R000005840367-其他社会保障缴费（事业）</w:t>
            </w:r>
          </w:p>
        </w:tc>
      </w:tr>
      <w:tr>
        <w:tblPrEx>
          <w:tblCellMar>
            <w:top w:w="0" w:type="dxa"/>
            <w:left w:w="108" w:type="dxa"/>
            <w:bottom w:w="0" w:type="dxa"/>
            <w:right w:w="108" w:type="dxa"/>
          </w:tblCellMar>
        </w:tblPrEx>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严格执行相关政策，保障工资及时发放、足额发放，预算编制科学合理，减少结余资金</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保障农村义务教育学校教职工的社会保障政策落到实处</w:t>
            </w:r>
          </w:p>
        </w:tc>
      </w:tr>
      <w:tr>
        <w:tblPrEx>
          <w:tblCellMar>
            <w:top w:w="0" w:type="dxa"/>
            <w:left w:w="108" w:type="dxa"/>
            <w:bottom w:w="0" w:type="dxa"/>
            <w:right w:w="108" w:type="dxa"/>
          </w:tblCellMar>
        </w:tblPrEx>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保障农村义务教育学校教职工的失业保险等社会保障相关政策落到实处，确实维护教职工的合法权益。</w:t>
            </w:r>
          </w:p>
        </w:tc>
      </w:tr>
      <w:tr>
        <w:tblPrEx>
          <w:tblCellMar>
            <w:top w:w="0" w:type="dxa"/>
            <w:left w:w="108" w:type="dxa"/>
            <w:bottom w:w="0" w:type="dxa"/>
            <w:right w:w="108" w:type="dxa"/>
          </w:tblCellMar>
        </w:tblPrEx>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16.32</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16.32</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16.32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16.32</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16.32</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16.32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发放（缴纳）覆盖率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16.32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足额保障率（参保率）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16.32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障农村义务教育学校教职工的失业保险等社会保障相关政策落到实处，确实维护教职工的合法权益。</w:t>
            </w:r>
          </w:p>
        </w:tc>
      </w:tr>
      <w:tr>
        <w:tblPrEx>
          <w:tblCellMar>
            <w:top w:w="0" w:type="dxa"/>
            <w:left w:w="108" w:type="dxa"/>
            <w:bottom w:w="0" w:type="dxa"/>
            <w:right w:w="108" w:type="dxa"/>
          </w:tblCellMar>
        </w:tblPrEx>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blPrEx>
          <w:tblCellMar>
            <w:top w:w="0" w:type="dxa"/>
            <w:left w:w="108" w:type="dxa"/>
            <w:bottom w:w="0" w:type="dxa"/>
            <w:right w:w="108" w:type="dxa"/>
          </w:tblCellMar>
        </w:tblPrEx>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51048922R000005840382-在职医疗补助（事业）</w:t>
            </w:r>
          </w:p>
        </w:tc>
      </w:tr>
      <w:tr>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严格执行相关政策，保障工资及时发放、足额发放，预算编制科学合理，减少结余资金</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保障农村义务教育学校教职工的医疗保障相关政策落到实处，确实维护教职工的合法权益。</w:t>
            </w:r>
          </w:p>
        </w:tc>
      </w:tr>
      <w:tr>
        <w:tblPrEx>
          <w:tblCellMar>
            <w:top w:w="0" w:type="dxa"/>
            <w:left w:w="108" w:type="dxa"/>
            <w:bottom w:w="0" w:type="dxa"/>
            <w:right w:w="108" w:type="dxa"/>
          </w:tblCellMar>
        </w:tblPrEx>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保障农村义务教育学校教职工的医疗保障相关政策落到实处，确实维护教职工的合法权益。</w:t>
            </w:r>
          </w:p>
        </w:tc>
      </w:tr>
      <w:tr>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发放（缴纳）覆盖率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6</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足额保障率（参保率）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6</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保障农村义务教育学校教职工的医疗保障相关政策落到实处，确实维护教职工的合法权益。</w:t>
            </w:r>
          </w:p>
        </w:tc>
      </w:tr>
      <w:tr>
        <w:tblPrEx>
          <w:tblCellMar>
            <w:top w:w="0" w:type="dxa"/>
            <w:left w:w="108" w:type="dxa"/>
            <w:bottom w:w="0" w:type="dxa"/>
            <w:right w:w="108" w:type="dxa"/>
          </w:tblCellMar>
        </w:tblPrEx>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blPrEx>
          <w:tblCellMar>
            <w:top w:w="0" w:type="dxa"/>
            <w:left w:w="108" w:type="dxa"/>
            <w:bottom w:w="0" w:type="dxa"/>
            <w:right w:w="108" w:type="dxa"/>
          </w:tblCellMar>
        </w:tblPrEx>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51048922R000005840397-基本医疗保险（事业）</w:t>
            </w:r>
          </w:p>
        </w:tc>
      </w:tr>
      <w:tr>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blPrEx>
          <w:tblCellMar>
            <w:top w:w="0" w:type="dxa"/>
            <w:left w:w="108" w:type="dxa"/>
            <w:bottom w:w="0" w:type="dxa"/>
            <w:right w:w="108" w:type="dxa"/>
          </w:tblCellMar>
        </w:tblPrEx>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严格执行相关政策，保障工资及时发放、足额发放，预算编制科学合理，减少结余资金</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保障农村义务教育学校教职工的医疗保障相关政策落到实处，确实维护教职工的合法权益。</w:t>
            </w:r>
          </w:p>
        </w:tc>
      </w:tr>
      <w:tr>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保障农村义务教育学校教职工的医疗保障相关政策落到实处，确实维护教职工的合法权益。</w:t>
            </w:r>
          </w:p>
        </w:tc>
      </w:tr>
      <w:tr>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blPrEx>
          <w:tblCellMar>
            <w:top w:w="0" w:type="dxa"/>
            <w:left w:w="108" w:type="dxa"/>
            <w:bottom w:w="0" w:type="dxa"/>
            <w:right w:w="108" w:type="dxa"/>
          </w:tblCellMar>
        </w:tblPrEx>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89.75</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89.75</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89.75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89.75</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89.75</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89.75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发放（缴纳）覆盖率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89.75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足额保障率（参保率）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89.75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保障农村义务教育学校教职工的医疗保障相关政策落到实处，确实维护教职工的合法权益。</w:t>
            </w:r>
          </w:p>
        </w:tc>
      </w:tr>
      <w:tr>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blPrEx>
          <w:tblCellMar>
            <w:top w:w="0" w:type="dxa"/>
            <w:left w:w="108" w:type="dxa"/>
            <w:bottom w:w="0" w:type="dxa"/>
            <w:right w:w="108" w:type="dxa"/>
          </w:tblCellMar>
        </w:tblPrEx>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blPrEx>
          <w:tblCellMar>
            <w:top w:w="0" w:type="dxa"/>
            <w:left w:w="108" w:type="dxa"/>
            <w:bottom w:w="0" w:type="dxa"/>
            <w:right w:w="108" w:type="dxa"/>
          </w:tblCellMar>
        </w:tblPrEx>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51048922R000005840415-基本养老保险（事业）</w:t>
            </w:r>
          </w:p>
        </w:tc>
      </w:tr>
      <w:tr>
        <w:tblPrEx>
          <w:tblCellMar>
            <w:top w:w="0" w:type="dxa"/>
            <w:left w:w="108" w:type="dxa"/>
            <w:bottom w:w="0" w:type="dxa"/>
            <w:right w:w="108" w:type="dxa"/>
          </w:tblCellMar>
        </w:tblPrEx>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blPrEx>
          <w:tblCellMar>
            <w:top w:w="0" w:type="dxa"/>
            <w:left w:w="108" w:type="dxa"/>
            <w:bottom w:w="0" w:type="dxa"/>
            <w:right w:w="108" w:type="dxa"/>
          </w:tblCellMar>
        </w:tblPrEx>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严格执行相关政策，保障工资及时发放、足额发放，预算编制科学合理，减少结余资金</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保障农村义务教育学校教职工的养老保障相关政策落到实处，确实维护教职工的合法权益。</w:t>
            </w:r>
          </w:p>
        </w:tc>
      </w:tr>
      <w:tr>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保障农村义务教育学校教职工的养老保障相关政策落到实处，确实维护教职工的合法权益。</w:t>
            </w:r>
          </w:p>
        </w:tc>
      </w:tr>
      <w:tr>
        <w:tblPrEx>
          <w:tblCellMar>
            <w:top w:w="0" w:type="dxa"/>
            <w:left w:w="108" w:type="dxa"/>
            <w:bottom w:w="0" w:type="dxa"/>
            <w:right w:w="108" w:type="dxa"/>
          </w:tblCellMar>
        </w:tblPrEx>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blPrEx>
          <w:tblCellMar>
            <w:top w:w="0" w:type="dxa"/>
            <w:left w:w="108" w:type="dxa"/>
            <w:bottom w:w="0" w:type="dxa"/>
            <w:right w:w="108" w:type="dxa"/>
          </w:tblCellMar>
        </w:tblPrEx>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186.48</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186.48</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186.48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186.48</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186.48</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186.48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发放（缴纳）覆盖率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186.48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足额保障率（参保率）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186.48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保障农村义务教育学校教职工的养老保障相关政策落到实处，确实维护教职工的合法权益。</w:t>
            </w:r>
          </w:p>
        </w:tc>
      </w:tr>
      <w:tr>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blPrEx>
          <w:tblCellMar>
            <w:top w:w="0" w:type="dxa"/>
            <w:left w:w="108" w:type="dxa"/>
            <w:bottom w:w="0" w:type="dxa"/>
            <w:right w:w="108" w:type="dxa"/>
          </w:tblCellMar>
        </w:tblPrEx>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blPrEx>
          <w:tblCellMar>
            <w:top w:w="0" w:type="dxa"/>
            <w:left w:w="108" w:type="dxa"/>
            <w:bottom w:w="0" w:type="dxa"/>
            <w:right w:w="108" w:type="dxa"/>
          </w:tblCellMar>
        </w:tblPrEx>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51048922R000005840430-住房公积金（事业）</w:t>
            </w:r>
          </w:p>
        </w:tc>
      </w:tr>
      <w:tr>
        <w:tblPrEx>
          <w:tblCellMar>
            <w:top w:w="0" w:type="dxa"/>
            <w:left w:w="108" w:type="dxa"/>
            <w:bottom w:w="0" w:type="dxa"/>
            <w:right w:w="108" w:type="dxa"/>
          </w:tblCellMar>
        </w:tblPrEx>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严格执行相关政策，保障工资及时发放、足额发放，预算编制科学合理，减少结余资金</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保障农村义务教育学校教职工的住房保障相关政策落到实处，确实维护教职工的合法权益。</w:t>
            </w:r>
          </w:p>
        </w:tc>
      </w:tr>
      <w:tr>
        <w:tblPrEx>
          <w:tblCellMar>
            <w:top w:w="0" w:type="dxa"/>
            <w:left w:w="108" w:type="dxa"/>
            <w:bottom w:w="0" w:type="dxa"/>
            <w:right w:w="108" w:type="dxa"/>
          </w:tblCellMar>
        </w:tblPrEx>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保障农村义务教育学校教职工的住房保障相关政策落到实处，确实维护教职工的合法权益。</w:t>
            </w:r>
          </w:p>
        </w:tc>
      </w:tr>
      <w:tr>
        <w:tblPrEx>
          <w:tblCellMar>
            <w:top w:w="0" w:type="dxa"/>
            <w:left w:w="108" w:type="dxa"/>
            <w:bottom w:w="0" w:type="dxa"/>
            <w:right w:w="108" w:type="dxa"/>
          </w:tblCellMar>
        </w:tblPrEx>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139.86</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139.86</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139.86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139.86</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139.86</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139.86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发放（缴纳）覆盖率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139.86</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足额保障率（参保率）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139.86</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保障农村义务教育学校教职工的住房保障相关政策落到实处，确实维护教职工的合法权益。</w:t>
            </w:r>
          </w:p>
        </w:tc>
      </w:tr>
      <w:tr>
        <w:tblPrEx>
          <w:tblCellMar>
            <w:top w:w="0" w:type="dxa"/>
            <w:left w:w="108" w:type="dxa"/>
            <w:bottom w:w="0" w:type="dxa"/>
            <w:right w:w="108" w:type="dxa"/>
          </w:tblCellMar>
        </w:tblPrEx>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blPrEx>
          <w:tblCellMar>
            <w:top w:w="0" w:type="dxa"/>
            <w:left w:w="108" w:type="dxa"/>
            <w:bottom w:w="0" w:type="dxa"/>
            <w:right w:w="108" w:type="dxa"/>
          </w:tblCellMar>
        </w:tblPrEx>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51048922R000005840475-工资性支出（事业）</w:t>
            </w:r>
          </w:p>
        </w:tc>
      </w:tr>
      <w:tr>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严格执行相关政策，保障工资及时、足额发放或社保及时、足额缴纳，预算编制科学合理，减少结余资金。</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主要用于农村义务教育学校教职工的工资及基本福利，等相关政策落到实处，确实维护教职工的合法权益。</w:t>
            </w:r>
          </w:p>
        </w:tc>
      </w:tr>
      <w:tr>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1166</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1166</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1166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1166</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1166</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1166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发放（缴纳）覆盖率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1166</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足额保障率（参保率）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1166</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严格执行相关政策，保障工资及时发放、足额发放，预算编制科学合理，减少结余资金</w:t>
            </w:r>
          </w:p>
        </w:tc>
      </w:tr>
      <w:tr>
        <w:tblPrEx>
          <w:tblCellMar>
            <w:top w:w="0" w:type="dxa"/>
            <w:left w:w="108" w:type="dxa"/>
            <w:bottom w:w="0" w:type="dxa"/>
            <w:right w:w="108" w:type="dxa"/>
          </w:tblCellMar>
        </w:tblPrEx>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blPrEx>
          <w:tblCellMar>
            <w:top w:w="0" w:type="dxa"/>
            <w:left w:w="108" w:type="dxa"/>
            <w:bottom w:w="0" w:type="dxa"/>
            <w:right w:w="108" w:type="dxa"/>
          </w:tblCellMar>
        </w:tblPrEx>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51048922T000005934229-学生营养餐和作业本费</w:t>
            </w:r>
          </w:p>
        </w:tc>
      </w:tr>
      <w:tr>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blPrEx>
          <w:tblCellMar>
            <w:top w:w="0" w:type="dxa"/>
            <w:left w:w="108" w:type="dxa"/>
            <w:bottom w:w="0" w:type="dxa"/>
            <w:right w:w="108" w:type="dxa"/>
          </w:tblCellMar>
        </w:tblPrEx>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1.进一步改善农村学生营养状况，提高学生健康水平，增强青少年身体素质，加快农村教育发展，促进教育公平。</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2.减轻家庭负担，促进教育公平。</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申请资金总额：</w:t>
            </w:r>
            <w:r>
              <w:rPr>
                <w:rFonts w:hint="eastAsia" w:ascii="宋体" w:hAnsi="宋体" w:eastAsia="宋体" w:cs="宋体"/>
                <w:color w:val="000000"/>
                <w:kern w:val="0"/>
                <w:sz w:val="18"/>
                <w:szCs w:val="18"/>
              </w:rPr>
              <w:t>47.5</w:t>
            </w:r>
            <w:r>
              <w:rPr>
                <w:rFonts w:ascii="宋体" w:hAnsi="宋体" w:eastAsia="宋体" w:cs="宋体"/>
                <w:color w:val="000000"/>
                <w:kern w:val="0"/>
                <w:sz w:val="18"/>
                <w:szCs w:val="18"/>
              </w:rPr>
              <w:t>万元 ，其中申请财政资金：</w:t>
            </w:r>
            <w:r>
              <w:rPr>
                <w:rFonts w:hint="eastAsia" w:ascii="宋体" w:hAnsi="宋体" w:eastAsia="宋体" w:cs="宋体"/>
                <w:color w:val="000000"/>
                <w:kern w:val="0"/>
                <w:sz w:val="18"/>
                <w:szCs w:val="18"/>
              </w:rPr>
              <w:t>47.5</w:t>
            </w:r>
            <w:r>
              <w:rPr>
                <w:rFonts w:ascii="宋体" w:hAnsi="宋体" w:eastAsia="宋体" w:cs="宋体"/>
                <w:color w:val="000000"/>
                <w:kern w:val="0"/>
                <w:sz w:val="18"/>
                <w:szCs w:val="18"/>
              </w:rPr>
              <w:t>万元  。</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根据实际情况调整预算后，申请资金总额：47.5万元 ，其中申请财政资金：47.5万元  ，严格按照国家政策执行。</w:t>
            </w:r>
          </w:p>
        </w:tc>
      </w:tr>
      <w:tr>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根据实际情况调整预算后，申请资金总额：2.12万元 ，其中申请财政资金：2.12万元  .</w:t>
            </w:r>
          </w:p>
        </w:tc>
      </w:tr>
      <w:tr>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blPrEx>
          <w:tblCellMar>
            <w:top w:w="0" w:type="dxa"/>
            <w:left w:w="108" w:type="dxa"/>
            <w:bottom w:w="0" w:type="dxa"/>
            <w:right w:w="108" w:type="dxa"/>
          </w:tblCellMar>
        </w:tblPrEx>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47.5</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31.02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65.30</w:t>
            </w: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1.预算执行率=预算执行数/调整后预算数，预算执行率未达到90%的需说明原因（供应商未及时提供发票）;2.年中发生预算调整的（追加或调减）,应单独说明理由；3.其他资金包括：社会投入资金、银行贷款.</w:t>
            </w:r>
          </w:p>
        </w:tc>
      </w:tr>
      <w:tr>
        <w:tblPrEx>
          <w:tblCellMar>
            <w:top w:w="0" w:type="dxa"/>
            <w:left w:w="108" w:type="dxa"/>
            <w:bottom w:w="0" w:type="dxa"/>
            <w:right w:w="108" w:type="dxa"/>
          </w:tblCellMar>
        </w:tblPrEx>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47.5</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31.02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65.30</w:t>
            </w: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微软雅黑" w:hAnsi="微软雅黑" w:eastAsia="微软雅黑" w:cs="微软雅黑"/>
                <w:iCs/>
                <w:color w:val="000000"/>
                <w:kern w:val="0"/>
                <w:sz w:val="16"/>
                <w:szCs w:val="16"/>
              </w:rPr>
              <w:t>因为供应商未及时提供发票。</w:t>
            </w: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47.5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47.5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31.02</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根据实际情况调整预算后，申请资金总额：47.5万元 ，其中申请财政资金：47.5万元  ，严格按照国家政策执行。</w:t>
            </w:r>
          </w:p>
        </w:tc>
      </w:tr>
      <w:tr>
        <w:tblPrEx>
          <w:tblCellMar>
            <w:top w:w="0" w:type="dxa"/>
            <w:left w:w="108" w:type="dxa"/>
            <w:bottom w:w="0" w:type="dxa"/>
            <w:right w:w="108" w:type="dxa"/>
          </w:tblCellMar>
        </w:tblPrEx>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项目负责人：尹伟洁</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blPrEx>
          <w:tblCellMar>
            <w:top w:w="0" w:type="dxa"/>
            <w:left w:w="108" w:type="dxa"/>
            <w:bottom w:w="0" w:type="dxa"/>
            <w:right w:w="108" w:type="dxa"/>
          </w:tblCellMar>
        </w:tblPrEx>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51048922Y000005840907-基本公用支出（事业）</w:t>
            </w:r>
          </w:p>
        </w:tc>
      </w:tr>
      <w:tr>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blPrEx>
          <w:tblCellMar>
            <w:top w:w="0" w:type="dxa"/>
            <w:left w:w="108" w:type="dxa"/>
            <w:bottom w:w="0" w:type="dxa"/>
            <w:right w:w="108" w:type="dxa"/>
          </w:tblCellMar>
        </w:tblPrEx>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保障单位日常运转，提高预算编制质量，严格执行预算</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保障单位日常运转，提高预算编制质量，严格执行预算</w:t>
            </w:r>
          </w:p>
        </w:tc>
      </w:tr>
      <w:tr>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保障单位日常运转，提高预算编制质量，严格执行预算</w:t>
            </w:r>
          </w:p>
        </w:tc>
      </w:tr>
      <w:tr>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blPrEx>
          <w:tblCellMar>
            <w:top w:w="0" w:type="dxa"/>
            <w:left w:w="108" w:type="dxa"/>
            <w:bottom w:w="0" w:type="dxa"/>
            <w:right w:w="108" w:type="dxa"/>
          </w:tblCellMar>
        </w:tblPrEx>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61.31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61.31</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61.31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61.31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61.31</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61.31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6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预算编制准确率（计算方法为：∣（执行数-预算数）/预算数∣）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90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经济效益指标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“三公经费”控制率[计算方法为：（三公经费实际支出数/预算安排数]×100%）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运转保障率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保障单位日常运转，提高预算编制质量，严格执行预算</w:t>
            </w:r>
          </w:p>
        </w:tc>
      </w:tr>
      <w:tr>
        <w:tblPrEx>
          <w:tblCellMar>
            <w:top w:w="0" w:type="dxa"/>
            <w:left w:w="108" w:type="dxa"/>
            <w:bottom w:w="0" w:type="dxa"/>
            <w:right w:w="108" w:type="dxa"/>
          </w:tblCellMar>
        </w:tblPrEx>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blPrEx>
          <w:tblCellMar>
            <w:top w:w="0" w:type="dxa"/>
            <w:left w:w="108" w:type="dxa"/>
            <w:bottom w:w="0" w:type="dxa"/>
            <w:right w:w="108" w:type="dxa"/>
          </w:tblCellMar>
        </w:tblPrEx>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51048922Y000005840942-退休福利费（事业）</w:t>
            </w:r>
          </w:p>
        </w:tc>
      </w:tr>
      <w:tr>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保障单位日常运转，提高预算编制质量，严格执行预算</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保障单位日常运转，提高预算编制质量，严格执行预算</w:t>
            </w:r>
          </w:p>
        </w:tc>
      </w:tr>
      <w:tr>
        <w:tblPrEx>
          <w:tblCellMar>
            <w:top w:w="0" w:type="dxa"/>
            <w:left w:w="108" w:type="dxa"/>
            <w:bottom w:w="0" w:type="dxa"/>
            <w:right w:w="108" w:type="dxa"/>
          </w:tblCellMar>
        </w:tblPrEx>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保障单位日常运转，提高预算编制质量，严格执行预算</w:t>
            </w:r>
          </w:p>
        </w:tc>
      </w:tr>
      <w:tr>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1.56</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1.56</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1.56</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1.56</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6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预算编制准确率（计算方法为：∣（执行数-预算数）/预算数∣）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90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经济效益指标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“三公经费”控制率[计算方法为：（三公经费实际支出数/预算安排数]×100%）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运转保障率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保障单位日常运转，提高预算编制质量，严格执行预算</w:t>
            </w:r>
          </w:p>
        </w:tc>
      </w:tr>
      <w:tr>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blPrEx>
          <w:tblCellMar>
            <w:top w:w="0" w:type="dxa"/>
            <w:left w:w="108" w:type="dxa"/>
            <w:bottom w:w="0" w:type="dxa"/>
            <w:right w:w="108" w:type="dxa"/>
          </w:tblCellMar>
        </w:tblPrEx>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blPrEx>
          <w:tblCellMar>
            <w:top w:w="0" w:type="dxa"/>
            <w:left w:w="108" w:type="dxa"/>
            <w:bottom w:w="0" w:type="dxa"/>
            <w:right w:w="108" w:type="dxa"/>
          </w:tblCellMar>
        </w:tblPrEx>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51048922Y000005841004-党建经费（事业）</w:t>
            </w:r>
          </w:p>
        </w:tc>
      </w:tr>
      <w:tr>
        <w:tblPrEx>
          <w:tblCellMar>
            <w:top w:w="0" w:type="dxa"/>
            <w:left w:w="108" w:type="dxa"/>
            <w:bottom w:w="0" w:type="dxa"/>
            <w:right w:w="108" w:type="dxa"/>
          </w:tblCellMar>
        </w:tblPrEx>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保障单位日常运转，提高预算编制质量，严格执行预算</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在实际工作中，着眼于党组织范围内的大多数党员或某一类别的党员普遍受益。</w:t>
            </w:r>
          </w:p>
        </w:tc>
      </w:tr>
      <w:tr>
        <w:tblPrEx>
          <w:tblCellMar>
            <w:top w:w="0" w:type="dxa"/>
            <w:left w:w="108" w:type="dxa"/>
            <w:bottom w:w="0" w:type="dxa"/>
            <w:right w:w="108" w:type="dxa"/>
          </w:tblCellMar>
        </w:tblPrEx>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主要保障对广大党员进行政治理论、实用技术等方面的培训，以及开展主题实践教育活动所发生的费用。</w:t>
            </w:r>
          </w:p>
        </w:tc>
      </w:tr>
      <w:tr>
        <w:tblPrEx>
          <w:tblCellMar>
            <w:top w:w="0" w:type="dxa"/>
            <w:left w:w="108" w:type="dxa"/>
            <w:bottom w:w="0" w:type="dxa"/>
            <w:right w:w="108" w:type="dxa"/>
          </w:tblCellMar>
        </w:tblPrEx>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14.23</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14.23</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14.23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14.23</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14.23</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14.23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科目调整次数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6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预算编制准确率（计算方法为：∣（执行数-预算数）/预算数∣）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90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经济效益指标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“三公经费”控制率[计算方法为：（三公经费实际支出数/预算安排数]×100%）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运转保障率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主要保障对广大党员进行政治理论、实用技术等方面的培训，以及开展主题实践教育活动所发生的费用。</w:t>
            </w:r>
          </w:p>
        </w:tc>
      </w:tr>
      <w:tr>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blPrEx>
          <w:tblCellMar>
            <w:top w:w="0" w:type="dxa"/>
            <w:left w:w="108" w:type="dxa"/>
            <w:bottom w:w="0" w:type="dxa"/>
            <w:right w:w="108" w:type="dxa"/>
          </w:tblCellMar>
        </w:tblPrEx>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blPrEx>
          <w:tblCellMar>
            <w:top w:w="0" w:type="dxa"/>
            <w:left w:w="108" w:type="dxa"/>
            <w:bottom w:w="0" w:type="dxa"/>
            <w:right w:w="108" w:type="dxa"/>
          </w:tblCellMar>
        </w:tblPrEx>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51048923R000007887917-退休人员生活补助（事业）</w:t>
            </w:r>
          </w:p>
        </w:tc>
      </w:tr>
      <w:tr>
        <w:tblPrEx>
          <w:tblCellMar>
            <w:top w:w="0" w:type="dxa"/>
            <w:left w:w="108" w:type="dxa"/>
            <w:bottom w:w="0" w:type="dxa"/>
            <w:right w:w="108" w:type="dxa"/>
          </w:tblCellMar>
        </w:tblPrEx>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blPrEx>
          <w:tblCellMar>
            <w:top w:w="0" w:type="dxa"/>
            <w:left w:w="108" w:type="dxa"/>
            <w:bottom w:w="0" w:type="dxa"/>
            <w:right w:w="108" w:type="dxa"/>
          </w:tblCellMar>
        </w:tblPrEx>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保障了农村义务教育学校退休教职工的退休生活保障，为农村教育均衡发展起到积极推动作用。</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保障了农村义务教育学校退休教职工的退休生活保障，为农村教育均衡发展起到积极推动作用。</w:t>
            </w:r>
          </w:p>
        </w:tc>
      </w:tr>
      <w:tr>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通过该项目的实施，保障了农村义务教育学校退休教职工的生活保障，加快农村教育发展，促进教育公平。</w:t>
            </w:r>
          </w:p>
        </w:tc>
      </w:tr>
      <w:tr>
        <w:tblPrEx>
          <w:tblCellMar>
            <w:top w:w="0" w:type="dxa"/>
            <w:left w:w="108" w:type="dxa"/>
            <w:bottom w:w="0" w:type="dxa"/>
            <w:right w:w="108" w:type="dxa"/>
          </w:tblCellMar>
        </w:tblPrEx>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blPrEx>
          <w:tblCellMar>
            <w:top w:w="0" w:type="dxa"/>
            <w:left w:w="108" w:type="dxa"/>
            <w:bottom w:w="0" w:type="dxa"/>
            <w:right w:w="108" w:type="dxa"/>
          </w:tblCellMar>
        </w:tblPrEx>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116.4</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116.4</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116.4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116.4</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116.4</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116.4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发放（缴纳）覆盖率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足额保障率（参保率）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保障了农村义务教育学校退休教职工的退休生活保障，为农村教育均衡发展起到积极推动作用。</w:t>
            </w:r>
          </w:p>
        </w:tc>
      </w:tr>
      <w:tr>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blPrEx>
          <w:tblCellMar>
            <w:top w:w="0" w:type="dxa"/>
            <w:left w:w="108" w:type="dxa"/>
            <w:bottom w:w="0" w:type="dxa"/>
            <w:right w:w="108" w:type="dxa"/>
          </w:tblCellMar>
        </w:tblPrEx>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blPrEx>
          <w:tblCellMar>
            <w:top w:w="0" w:type="dxa"/>
            <w:left w:w="108" w:type="dxa"/>
            <w:bottom w:w="0" w:type="dxa"/>
            <w:right w:w="108" w:type="dxa"/>
          </w:tblCellMar>
        </w:tblPrEx>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51048923T00000</w:t>
            </w:r>
            <w:r>
              <w:rPr>
                <w:rFonts w:hint="eastAsia" w:ascii="宋体" w:hAnsi="宋体" w:eastAsia="宋体" w:cs="宋体"/>
                <w:color w:val="000000"/>
                <w:kern w:val="0"/>
                <w:sz w:val="18"/>
                <w:szCs w:val="18"/>
              </w:rPr>
              <w:t>8772841-学校初中部计算机室标准化建设</w:t>
            </w:r>
          </w:p>
        </w:tc>
      </w:tr>
      <w:tr>
        <w:tblPrEx>
          <w:tblCellMar>
            <w:top w:w="0" w:type="dxa"/>
            <w:left w:w="108" w:type="dxa"/>
            <w:bottom w:w="0" w:type="dxa"/>
            <w:right w:w="108" w:type="dxa"/>
          </w:tblCellMar>
        </w:tblPrEx>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因学校</w:t>
            </w:r>
            <w:r>
              <w:rPr>
                <w:rFonts w:hint="eastAsia" w:ascii="宋体" w:hAnsi="宋体" w:eastAsia="宋体" w:cs="宋体"/>
                <w:color w:val="000000"/>
                <w:kern w:val="0"/>
                <w:sz w:val="18"/>
                <w:szCs w:val="18"/>
              </w:rPr>
              <w:t>初中部计算机</w:t>
            </w:r>
            <w:r>
              <w:rPr>
                <w:rFonts w:ascii="宋体" w:hAnsi="宋体" w:eastAsia="宋体" w:cs="宋体"/>
                <w:color w:val="000000"/>
                <w:kern w:val="0"/>
                <w:sz w:val="18"/>
                <w:szCs w:val="18"/>
              </w:rPr>
              <w:t>教室</w:t>
            </w:r>
            <w:r>
              <w:rPr>
                <w:rFonts w:hint="eastAsia" w:ascii="宋体" w:hAnsi="宋体" w:eastAsia="宋体" w:cs="宋体"/>
                <w:color w:val="000000"/>
                <w:kern w:val="0"/>
                <w:sz w:val="18"/>
                <w:szCs w:val="18"/>
              </w:rPr>
              <w:t>电脑等</w:t>
            </w:r>
            <w:r>
              <w:rPr>
                <w:rFonts w:ascii="宋体" w:hAnsi="宋体" w:eastAsia="宋体" w:cs="宋体"/>
                <w:color w:val="000000"/>
                <w:kern w:val="0"/>
                <w:sz w:val="18"/>
                <w:szCs w:val="18"/>
              </w:rPr>
              <w:t>严重老化，失去维修价值，已经严重影响正常的教育教学工作。根据总务询价</w:t>
            </w:r>
            <w:r>
              <w:rPr>
                <w:rFonts w:hint="eastAsia" w:ascii="宋体" w:hAnsi="宋体" w:eastAsia="宋体" w:cs="宋体"/>
                <w:color w:val="000000"/>
                <w:kern w:val="0"/>
                <w:sz w:val="18"/>
                <w:szCs w:val="18"/>
              </w:rPr>
              <w:t>0.396</w:t>
            </w:r>
            <w:r>
              <w:rPr>
                <w:rFonts w:ascii="宋体" w:hAnsi="宋体" w:eastAsia="宋体" w:cs="宋体"/>
                <w:color w:val="000000"/>
                <w:kern w:val="0"/>
                <w:sz w:val="18"/>
                <w:szCs w:val="18"/>
              </w:rPr>
              <w:t>万元/台，需要</w:t>
            </w:r>
            <w:r>
              <w:rPr>
                <w:rFonts w:hint="eastAsia" w:ascii="宋体" w:hAnsi="宋体" w:eastAsia="宋体" w:cs="宋体"/>
                <w:color w:val="000000"/>
                <w:kern w:val="0"/>
                <w:sz w:val="18"/>
                <w:szCs w:val="18"/>
              </w:rPr>
              <w:t>30</w:t>
            </w:r>
            <w:r>
              <w:rPr>
                <w:rFonts w:ascii="宋体" w:hAnsi="宋体" w:eastAsia="宋体" w:cs="宋体"/>
                <w:color w:val="000000"/>
                <w:kern w:val="0"/>
                <w:sz w:val="18"/>
                <w:szCs w:val="18"/>
              </w:rPr>
              <w:t>万元。</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让金江中小学真正实现现代化信息教育，实现城乡义务教育均衡发展</w:t>
            </w:r>
          </w:p>
        </w:tc>
      </w:tr>
      <w:tr>
        <w:tblPrEx>
          <w:tblCellMar>
            <w:top w:w="0" w:type="dxa"/>
            <w:left w:w="108" w:type="dxa"/>
            <w:bottom w:w="0" w:type="dxa"/>
            <w:right w:w="108" w:type="dxa"/>
          </w:tblCellMar>
        </w:tblPrEx>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根据总务询价</w:t>
            </w:r>
            <w:r>
              <w:rPr>
                <w:rFonts w:hint="eastAsia" w:ascii="宋体" w:hAnsi="宋体" w:eastAsia="宋体" w:cs="宋体"/>
                <w:color w:val="000000"/>
                <w:kern w:val="0"/>
                <w:sz w:val="18"/>
                <w:szCs w:val="18"/>
              </w:rPr>
              <w:t>0.396</w:t>
            </w:r>
            <w:r>
              <w:rPr>
                <w:rFonts w:ascii="宋体" w:hAnsi="宋体" w:eastAsia="宋体" w:cs="宋体"/>
                <w:color w:val="000000"/>
                <w:kern w:val="0"/>
                <w:sz w:val="18"/>
                <w:szCs w:val="18"/>
              </w:rPr>
              <w:t>万元/台，需要</w:t>
            </w:r>
            <w:r>
              <w:rPr>
                <w:rFonts w:hint="eastAsia" w:ascii="宋体" w:hAnsi="宋体" w:eastAsia="宋体" w:cs="宋体"/>
                <w:color w:val="000000"/>
                <w:kern w:val="0"/>
                <w:sz w:val="18"/>
                <w:szCs w:val="18"/>
              </w:rPr>
              <w:t>30</w:t>
            </w:r>
            <w:r>
              <w:rPr>
                <w:rFonts w:ascii="宋体" w:hAnsi="宋体" w:eastAsia="宋体" w:cs="宋体"/>
                <w:color w:val="000000"/>
                <w:kern w:val="0"/>
                <w:sz w:val="18"/>
                <w:szCs w:val="18"/>
              </w:rPr>
              <w:t>万元。</w:t>
            </w:r>
          </w:p>
        </w:tc>
      </w:tr>
      <w:tr>
        <w:tblPrEx>
          <w:tblCellMar>
            <w:top w:w="0" w:type="dxa"/>
            <w:left w:w="108" w:type="dxa"/>
            <w:bottom w:w="0" w:type="dxa"/>
            <w:right w:w="108" w:type="dxa"/>
          </w:tblCellMar>
        </w:tblPrEx>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blPrEx>
          <w:tblCellMar>
            <w:top w:w="0" w:type="dxa"/>
            <w:left w:w="108" w:type="dxa"/>
            <w:bottom w:w="0" w:type="dxa"/>
            <w:right w:w="108" w:type="dxa"/>
          </w:tblCellMar>
        </w:tblPrEx>
        <w:trPr>
          <w:trHeight w:val="45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学生用电脑</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0.396</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0.396</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45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学生用电脑</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0.396</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0.396</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45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学生用电脑</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0.396</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0.396</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45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成本指标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经济成本指标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学生用电脑</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0.396</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0.396</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学校教育教学工作的正常开展，才能真正落实义务教育均衡发展。</w:t>
            </w:r>
          </w:p>
        </w:tc>
      </w:tr>
      <w:tr>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blPrEx>
          <w:tblCellMar>
            <w:top w:w="0" w:type="dxa"/>
            <w:left w:w="108" w:type="dxa"/>
            <w:bottom w:w="0" w:type="dxa"/>
            <w:right w:w="108" w:type="dxa"/>
          </w:tblCellMar>
        </w:tblPrEx>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blPrEx>
          <w:tblCellMar>
            <w:top w:w="0" w:type="dxa"/>
            <w:left w:w="108" w:type="dxa"/>
            <w:bottom w:w="0" w:type="dxa"/>
            <w:right w:w="108" w:type="dxa"/>
          </w:tblCellMar>
        </w:tblPrEx>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51048923T000008468211-心理健康教育费</w:t>
            </w:r>
          </w:p>
        </w:tc>
      </w:tr>
      <w:tr>
        <w:tblPrEx>
          <w:tblCellMar>
            <w:top w:w="0" w:type="dxa"/>
            <w:left w:w="108" w:type="dxa"/>
            <w:bottom w:w="0" w:type="dxa"/>
            <w:right w:w="108" w:type="dxa"/>
          </w:tblCellMar>
        </w:tblPrEx>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blPrEx>
          <w:tblCellMar>
            <w:top w:w="0" w:type="dxa"/>
            <w:left w:w="108" w:type="dxa"/>
            <w:bottom w:w="0" w:type="dxa"/>
            <w:right w:w="108" w:type="dxa"/>
          </w:tblCellMar>
        </w:tblPrEx>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区级配套：根据攀教体思政【2022】12号文，学校需要配置一间心理辅导室，园区配套1万元</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切实加强学校心理健康教育工作，让学生健康快乐成长。</w:t>
            </w:r>
          </w:p>
        </w:tc>
      </w:tr>
      <w:tr>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切实加强学校心理健康教育工作，让学生健康快乐成长。</w:t>
            </w:r>
          </w:p>
        </w:tc>
      </w:tr>
      <w:tr>
        <w:tblPrEx>
          <w:tblCellMar>
            <w:top w:w="0" w:type="dxa"/>
            <w:left w:w="108" w:type="dxa"/>
            <w:bottom w:w="0" w:type="dxa"/>
            <w:right w:w="108" w:type="dxa"/>
          </w:tblCellMar>
        </w:tblPrEx>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blPrEx>
          <w:tblCellMar>
            <w:top w:w="0" w:type="dxa"/>
            <w:left w:w="108" w:type="dxa"/>
            <w:bottom w:w="0" w:type="dxa"/>
            <w:right w:w="108" w:type="dxa"/>
          </w:tblCellMar>
        </w:tblPrEx>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rPr>
          <w:trHeight w:val="45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心理健康教育经费</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元/年</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45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心理健康教育经费</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元/年</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45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心理健康教育经费</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元/年</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45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成本指标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经济成本指标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心理健康教育经费</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元/年</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真正体现出：“人民至上，生命至上”理念。</w:t>
            </w:r>
          </w:p>
        </w:tc>
      </w:tr>
      <w:tr>
        <w:tblPrEx>
          <w:tblCellMar>
            <w:top w:w="0" w:type="dxa"/>
            <w:left w:w="108" w:type="dxa"/>
            <w:bottom w:w="0" w:type="dxa"/>
            <w:right w:w="108" w:type="dxa"/>
          </w:tblCellMar>
        </w:tblPrEx>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blPrEx>
          <w:tblCellMar>
            <w:top w:w="0" w:type="dxa"/>
            <w:left w:w="108" w:type="dxa"/>
            <w:bottom w:w="0" w:type="dxa"/>
            <w:right w:w="108" w:type="dxa"/>
          </w:tblCellMar>
        </w:tblPrEx>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51048923T000008468227-教职工体检费</w:t>
            </w:r>
          </w:p>
        </w:tc>
      </w:tr>
      <w:tr>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blPrEx>
          <w:tblCellMar>
            <w:top w:w="0" w:type="dxa"/>
            <w:left w:w="108" w:type="dxa"/>
            <w:bottom w:w="0" w:type="dxa"/>
            <w:right w:w="108" w:type="dxa"/>
          </w:tblCellMar>
        </w:tblPrEx>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根据国家2年一次体检政策</w:t>
            </w:r>
            <w:r>
              <w:rPr>
                <w:rFonts w:hint="eastAsia" w:ascii="宋体" w:hAnsi="宋体" w:eastAsia="宋体" w:cs="宋体"/>
                <w:color w:val="000000"/>
                <w:kern w:val="0"/>
                <w:sz w:val="18"/>
                <w:szCs w:val="18"/>
              </w:rPr>
              <w:t>74</w:t>
            </w:r>
            <w:r>
              <w:rPr>
                <w:rFonts w:ascii="宋体" w:hAnsi="宋体" w:eastAsia="宋体" w:cs="宋体"/>
                <w:color w:val="000000"/>
                <w:kern w:val="0"/>
                <w:sz w:val="18"/>
                <w:szCs w:val="18"/>
              </w:rPr>
              <w:t>名在职和</w:t>
            </w:r>
            <w:r>
              <w:rPr>
                <w:rFonts w:hint="eastAsia" w:ascii="宋体" w:hAnsi="宋体" w:eastAsia="宋体" w:cs="宋体"/>
                <w:color w:val="000000"/>
                <w:kern w:val="0"/>
                <w:sz w:val="18"/>
                <w:szCs w:val="18"/>
              </w:rPr>
              <w:t>47</w:t>
            </w:r>
            <w:r>
              <w:rPr>
                <w:rFonts w:ascii="宋体" w:hAnsi="宋体" w:eastAsia="宋体" w:cs="宋体"/>
                <w:color w:val="000000"/>
                <w:kern w:val="0"/>
                <w:sz w:val="18"/>
                <w:szCs w:val="18"/>
              </w:rPr>
              <w:t>名退休人员</w:t>
            </w:r>
            <w:r>
              <w:rPr>
                <w:rFonts w:hint="eastAsia" w:ascii="宋体" w:hAnsi="宋体" w:eastAsia="宋体" w:cs="宋体"/>
                <w:color w:val="000000"/>
                <w:kern w:val="0"/>
                <w:sz w:val="18"/>
                <w:szCs w:val="18"/>
              </w:rPr>
              <w:t>121</w:t>
            </w:r>
            <w:r>
              <w:rPr>
                <w:rFonts w:ascii="宋体" w:hAnsi="宋体" w:eastAsia="宋体" w:cs="宋体"/>
                <w:color w:val="000000"/>
                <w:kern w:val="0"/>
                <w:sz w:val="18"/>
                <w:szCs w:val="18"/>
              </w:rPr>
              <w:t>*1000=</w:t>
            </w:r>
            <w:r>
              <w:rPr>
                <w:rFonts w:hint="eastAsia" w:ascii="宋体" w:hAnsi="宋体" w:eastAsia="宋体" w:cs="宋体"/>
                <w:color w:val="000000"/>
                <w:kern w:val="0"/>
                <w:sz w:val="18"/>
                <w:szCs w:val="18"/>
              </w:rPr>
              <w:t>121000</w:t>
            </w:r>
            <w:r>
              <w:rPr>
                <w:rFonts w:ascii="宋体" w:hAnsi="宋体" w:eastAsia="宋体" w:cs="宋体"/>
                <w:color w:val="000000"/>
                <w:kern w:val="0"/>
                <w:sz w:val="18"/>
                <w:szCs w:val="18"/>
              </w:rPr>
              <w:t>元。</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通过健康体检，让老师们根据体检结果报告，了解到了自身的身体状况，针对体检中的一些问题及时咨询医生，如需要进一步进行治疗，则可尽早，决定了预后的关键。</w:t>
            </w:r>
          </w:p>
        </w:tc>
      </w:tr>
      <w:tr>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严格按照1000元/人的标准，定期组织教师体检.在职教师</w:t>
            </w:r>
            <w:r>
              <w:rPr>
                <w:rFonts w:hint="eastAsia" w:ascii="宋体" w:hAnsi="宋体" w:eastAsia="宋体" w:cs="宋体"/>
                <w:color w:val="000000"/>
                <w:kern w:val="0"/>
                <w:sz w:val="18"/>
                <w:szCs w:val="18"/>
              </w:rPr>
              <w:t>74</w:t>
            </w:r>
            <w:r>
              <w:rPr>
                <w:rFonts w:ascii="宋体" w:hAnsi="宋体" w:eastAsia="宋体" w:cs="宋体"/>
                <w:color w:val="000000"/>
                <w:kern w:val="0"/>
                <w:sz w:val="18"/>
                <w:szCs w:val="18"/>
              </w:rPr>
              <w:t>人×1000元/人=</w:t>
            </w:r>
            <w:r>
              <w:rPr>
                <w:rFonts w:hint="eastAsia" w:ascii="宋体" w:hAnsi="宋体" w:eastAsia="宋体" w:cs="宋体"/>
                <w:color w:val="000000"/>
                <w:kern w:val="0"/>
                <w:sz w:val="18"/>
                <w:szCs w:val="18"/>
              </w:rPr>
              <w:t>74000</w:t>
            </w:r>
            <w:r>
              <w:rPr>
                <w:rFonts w:ascii="宋体" w:hAnsi="宋体" w:eastAsia="宋体" w:cs="宋体"/>
                <w:color w:val="000000"/>
                <w:kern w:val="0"/>
                <w:sz w:val="18"/>
                <w:szCs w:val="18"/>
              </w:rPr>
              <w:t>；                            退休教师</w:t>
            </w:r>
            <w:r>
              <w:rPr>
                <w:rFonts w:hint="eastAsia" w:ascii="宋体" w:hAnsi="宋体" w:eastAsia="宋体" w:cs="宋体"/>
                <w:color w:val="000000"/>
                <w:kern w:val="0"/>
                <w:sz w:val="18"/>
                <w:szCs w:val="18"/>
              </w:rPr>
              <w:t>47</w:t>
            </w:r>
            <w:r>
              <w:rPr>
                <w:rFonts w:ascii="宋体" w:hAnsi="宋体" w:eastAsia="宋体" w:cs="宋体"/>
                <w:color w:val="000000"/>
                <w:kern w:val="0"/>
                <w:sz w:val="18"/>
                <w:szCs w:val="18"/>
              </w:rPr>
              <w:t>人×1000元/人=</w:t>
            </w:r>
            <w:r>
              <w:rPr>
                <w:rFonts w:hint="eastAsia" w:ascii="宋体" w:hAnsi="宋体" w:eastAsia="宋体" w:cs="宋体"/>
                <w:color w:val="000000"/>
                <w:kern w:val="0"/>
                <w:sz w:val="18"/>
                <w:szCs w:val="18"/>
              </w:rPr>
              <w:t>47000</w:t>
            </w:r>
            <w:r>
              <w:rPr>
                <w:rFonts w:ascii="宋体" w:hAnsi="宋体" w:eastAsia="宋体" w:cs="宋体"/>
                <w:color w:val="000000"/>
                <w:kern w:val="0"/>
                <w:sz w:val="18"/>
                <w:szCs w:val="18"/>
              </w:rPr>
              <w:t xml:space="preserve"> ； 合计：</w:t>
            </w:r>
            <w:r>
              <w:rPr>
                <w:rFonts w:hint="eastAsia" w:ascii="宋体" w:hAnsi="宋体" w:eastAsia="宋体" w:cs="宋体"/>
                <w:color w:val="000000"/>
                <w:kern w:val="0"/>
                <w:sz w:val="18"/>
                <w:szCs w:val="18"/>
              </w:rPr>
              <w:t>121000</w:t>
            </w:r>
            <w:r>
              <w:rPr>
                <w:rFonts w:ascii="宋体" w:hAnsi="宋体" w:eastAsia="宋体" w:cs="宋体"/>
                <w:color w:val="000000"/>
                <w:kern w:val="0"/>
                <w:sz w:val="18"/>
                <w:szCs w:val="18"/>
              </w:rPr>
              <w:t>.00元。</w:t>
            </w:r>
          </w:p>
        </w:tc>
      </w:tr>
      <w:tr>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blPrEx>
          <w:tblCellMar>
            <w:top w:w="0" w:type="dxa"/>
            <w:left w:w="108" w:type="dxa"/>
            <w:bottom w:w="0" w:type="dxa"/>
            <w:right w:w="108" w:type="dxa"/>
          </w:tblCellMar>
        </w:tblPrEx>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12.1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12.1</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12.1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12.1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12.1</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12.1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rPr>
          <w:trHeight w:val="6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教职工体检费</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121000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元/人·次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121000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6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教职工体检费</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121000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元/人·次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121000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6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教职工体检费</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121000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元/人·次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121000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67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成本指标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经济成本指标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教职工体检费</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121000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元/人·次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121000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通过体检，个别老师发现了一些小问题，及时得到了解决，学校也没有出现因身体原因长期休假的教师，确保学校教育教学工作稳步进行。</w:t>
            </w:r>
          </w:p>
        </w:tc>
      </w:tr>
      <w:tr>
        <w:tblPrEx>
          <w:tblCellMar>
            <w:top w:w="0" w:type="dxa"/>
            <w:left w:w="108" w:type="dxa"/>
            <w:bottom w:w="0" w:type="dxa"/>
            <w:right w:w="108" w:type="dxa"/>
          </w:tblCellMar>
        </w:tblPrEx>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blPrEx>
          <w:tblCellMar>
            <w:top w:w="0" w:type="dxa"/>
            <w:left w:w="108" w:type="dxa"/>
            <w:bottom w:w="0" w:type="dxa"/>
            <w:right w:w="108" w:type="dxa"/>
          </w:tblCellMar>
        </w:tblPrEx>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51048923T000008809</w:t>
            </w:r>
            <w:r>
              <w:rPr>
                <w:rFonts w:hint="eastAsia" w:ascii="宋体" w:hAnsi="宋体" w:eastAsia="宋体" w:cs="宋体"/>
                <w:color w:val="000000"/>
                <w:kern w:val="0"/>
                <w:sz w:val="18"/>
                <w:szCs w:val="18"/>
              </w:rPr>
              <w:t>543-学生健康照明</w:t>
            </w:r>
          </w:p>
        </w:tc>
      </w:tr>
      <w:tr>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根据教体艺【2018】3号文； 四川省卫生健康委员会、四川省教育厅关于开展2019年托幼机构、校外培训机构、学校采光照明“双随机”抽检工作的通知。</w:t>
            </w:r>
            <w:r>
              <w:rPr>
                <w:rFonts w:ascii="宋体" w:hAnsi="宋体" w:eastAsia="宋体" w:cs="宋体"/>
                <w:color w:val="000000"/>
                <w:kern w:val="0"/>
                <w:sz w:val="18"/>
                <w:szCs w:val="18"/>
              </w:rPr>
              <w:t>申请资金总额：</w:t>
            </w:r>
            <w:r>
              <w:rPr>
                <w:rFonts w:hint="eastAsia" w:ascii="宋体" w:hAnsi="宋体" w:eastAsia="宋体" w:cs="宋体"/>
                <w:color w:val="000000"/>
                <w:kern w:val="0"/>
                <w:sz w:val="18"/>
                <w:szCs w:val="18"/>
              </w:rPr>
              <w:t>79.756</w:t>
            </w:r>
            <w:r>
              <w:rPr>
                <w:rFonts w:ascii="宋体" w:hAnsi="宋体" w:eastAsia="宋体" w:cs="宋体"/>
                <w:color w:val="000000"/>
                <w:kern w:val="0"/>
                <w:sz w:val="18"/>
                <w:szCs w:val="18"/>
              </w:rPr>
              <w:t>万元 ，其中申请财政资金：</w:t>
            </w:r>
            <w:r>
              <w:rPr>
                <w:rFonts w:hint="eastAsia" w:ascii="宋体" w:hAnsi="宋体" w:eastAsia="宋体" w:cs="宋体"/>
                <w:color w:val="000000"/>
                <w:kern w:val="0"/>
                <w:sz w:val="18"/>
                <w:szCs w:val="18"/>
              </w:rPr>
              <w:t>79.756</w:t>
            </w:r>
            <w:r>
              <w:rPr>
                <w:rFonts w:ascii="宋体" w:hAnsi="宋体" w:eastAsia="宋体" w:cs="宋体"/>
                <w:color w:val="000000"/>
                <w:kern w:val="0"/>
                <w:sz w:val="18"/>
                <w:szCs w:val="18"/>
              </w:rPr>
              <w:t>万元  。</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根据实际情况调整预算后，申请资金总额：79.756万元 ，其中申请财政资金：79.756万元  ，严格按照国家政策执行。</w:t>
            </w:r>
          </w:p>
        </w:tc>
      </w:tr>
      <w:tr>
        <w:tblPrEx>
          <w:tblCellMar>
            <w:top w:w="0" w:type="dxa"/>
            <w:left w:w="108" w:type="dxa"/>
            <w:bottom w:w="0" w:type="dxa"/>
            <w:right w:w="108" w:type="dxa"/>
          </w:tblCellMar>
        </w:tblPrEx>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根据教体艺【2018】3号文； 四川省卫生健康委员会、四川省教育厅关于开展2019年托幼机构、校外培训机构、学校采光照明“双随机”抽检工作的通知。</w:t>
            </w:r>
          </w:p>
        </w:tc>
      </w:tr>
      <w:tr>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79.756</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79.756</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79.756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w:t>
            </w: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79.756</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79.756</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79.756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w:t>
            </w: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blPrEx>
          <w:tblCellMar>
            <w:top w:w="0" w:type="dxa"/>
            <w:left w:w="108" w:type="dxa"/>
            <w:bottom w:w="0" w:type="dxa"/>
            <w:right w:w="108" w:type="dxa"/>
          </w:tblCellMar>
        </w:tblPrEx>
        <w:trPr>
          <w:trHeight w:val="45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学生健康照明</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797560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元/年</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797560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p>
        </w:tc>
      </w:tr>
      <w:tr>
        <w:trPr>
          <w:trHeight w:val="45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学生健康照明</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797560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元/年</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797560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p>
        </w:tc>
      </w:tr>
      <w:tr>
        <w:trPr>
          <w:trHeight w:val="45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学生健康照明</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797560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元/年</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797560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45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成本指标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经济成本指标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学生健康照明</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797560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元/年</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797560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是办人民满意教育的需要，是实现义务教育均衡的需要。</w:t>
            </w:r>
          </w:p>
        </w:tc>
      </w:tr>
      <w:tr>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blPrEx>
          <w:tblCellMar>
            <w:top w:w="0" w:type="dxa"/>
            <w:left w:w="108" w:type="dxa"/>
            <w:bottom w:w="0" w:type="dxa"/>
            <w:right w:w="108" w:type="dxa"/>
          </w:tblCellMar>
        </w:tblPrEx>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51048923T0000088094</w:t>
            </w:r>
            <w:r>
              <w:rPr>
                <w:rFonts w:hint="eastAsia" w:ascii="宋体" w:hAnsi="宋体" w:eastAsia="宋体" w:cs="宋体"/>
                <w:color w:val="000000"/>
                <w:kern w:val="0"/>
                <w:sz w:val="18"/>
                <w:szCs w:val="18"/>
              </w:rPr>
              <w:t>32</w:t>
            </w:r>
            <w:r>
              <w:rPr>
                <w:rFonts w:ascii="宋体" w:hAnsi="宋体" w:eastAsia="宋体" w:cs="宋体"/>
                <w:color w:val="000000"/>
                <w:kern w:val="0"/>
                <w:sz w:val="18"/>
                <w:szCs w:val="18"/>
              </w:rPr>
              <w:t>-2023年临聘人员劳务费</w:t>
            </w:r>
          </w:p>
        </w:tc>
      </w:tr>
      <w:tr>
        <w:tblPrEx>
          <w:tblCellMar>
            <w:top w:w="0" w:type="dxa"/>
            <w:left w:w="108" w:type="dxa"/>
            <w:bottom w:w="0" w:type="dxa"/>
            <w:right w:w="108" w:type="dxa"/>
          </w:tblCellMar>
        </w:tblPrEx>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1．保障师生生命、财产安全，维护教育教学正常运行。</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2.落实营养膳食计划，提高学生身体健康水平。</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3.保障学校财产安全、美化校园环境。</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申请资金总额</w:t>
            </w:r>
            <w:r>
              <w:rPr>
                <w:rFonts w:hint="eastAsia" w:ascii="宋体" w:hAnsi="宋体" w:eastAsia="宋体" w:cs="宋体"/>
                <w:color w:val="000000"/>
                <w:kern w:val="0"/>
                <w:sz w:val="18"/>
                <w:szCs w:val="18"/>
              </w:rPr>
              <w:t>：44.72</w:t>
            </w:r>
            <w:r>
              <w:rPr>
                <w:rFonts w:ascii="宋体" w:hAnsi="宋体" w:eastAsia="宋体" w:cs="宋体"/>
                <w:color w:val="000000"/>
                <w:kern w:val="0"/>
                <w:sz w:val="18"/>
                <w:szCs w:val="18"/>
              </w:rPr>
              <w:t xml:space="preserve">万元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其中申请财政资金：</w:t>
            </w:r>
            <w:r>
              <w:rPr>
                <w:rFonts w:hint="eastAsia" w:ascii="宋体" w:hAnsi="宋体" w:eastAsia="宋体" w:cs="宋体"/>
                <w:color w:val="000000"/>
                <w:kern w:val="0"/>
                <w:sz w:val="18"/>
                <w:szCs w:val="18"/>
              </w:rPr>
              <w:t>44.72</w:t>
            </w:r>
            <w:r>
              <w:rPr>
                <w:rFonts w:ascii="宋体" w:hAnsi="宋体" w:eastAsia="宋体" w:cs="宋体"/>
                <w:color w:val="000000"/>
                <w:kern w:val="0"/>
                <w:sz w:val="18"/>
                <w:szCs w:val="18"/>
              </w:rPr>
              <w:t xml:space="preserve">万元     </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1．保障师生生命、财产安全，维护教育教学正常运行。</w:t>
            </w:r>
            <w:r>
              <w:rPr>
                <w:rFonts w:hint="eastAsia" w:ascii="黑体" w:hAnsi="黑体" w:eastAsia="黑体" w:cs="黑体"/>
                <w:color w:val="000000"/>
                <w:kern w:val="0"/>
                <w:sz w:val="18"/>
                <w:szCs w:val="18"/>
              </w:rPr>
              <w:br w:type="textWrapping"/>
            </w:r>
            <w:r>
              <w:rPr>
                <w:rFonts w:hint="eastAsia" w:ascii="黑体" w:hAnsi="黑体" w:eastAsia="黑体" w:cs="黑体"/>
                <w:color w:val="000000"/>
                <w:kern w:val="0"/>
                <w:sz w:val="18"/>
                <w:szCs w:val="18"/>
              </w:rPr>
              <w:t>2.落实营养膳食计划，提高学生身体健康水平。</w:t>
            </w:r>
            <w:r>
              <w:rPr>
                <w:rFonts w:hint="eastAsia" w:ascii="黑体" w:hAnsi="黑体" w:eastAsia="黑体" w:cs="黑体"/>
                <w:color w:val="000000"/>
                <w:kern w:val="0"/>
                <w:sz w:val="18"/>
                <w:szCs w:val="18"/>
              </w:rPr>
              <w:br w:type="textWrapping"/>
            </w:r>
            <w:r>
              <w:rPr>
                <w:rFonts w:hint="eastAsia" w:ascii="黑体" w:hAnsi="黑体" w:eastAsia="黑体" w:cs="黑体"/>
                <w:color w:val="000000"/>
                <w:kern w:val="0"/>
                <w:sz w:val="18"/>
                <w:szCs w:val="18"/>
              </w:rPr>
              <w:t>3.保障学校财产安全、美化校园环境。</w:t>
            </w:r>
            <w:r>
              <w:rPr>
                <w:rFonts w:hint="eastAsia" w:ascii="黑体" w:hAnsi="黑体" w:eastAsia="黑体" w:cs="黑体"/>
                <w:color w:val="000000"/>
                <w:kern w:val="0"/>
                <w:sz w:val="18"/>
                <w:szCs w:val="18"/>
              </w:rPr>
              <w:br w:type="textWrapping"/>
            </w:r>
            <w:r>
              <w:rPr>
                <w:rFonts w:hint="eastAsia" w:ascii="黑体" w:hAnsi="黑体" w:eastAsia="黑体" w:cs="黑体"/>
                <w:color w:val="000000"/>
                <w:kern w:val="0"/>
                <w:sz w:val="18"/>
                <w:szCs w:val="18"/>
              </w:rPr>
              <w:t xml:space="preserve">执行资金总额：44.72万元           </w:t>
            </w:r>
            <w:r>
              <w:rPr>
                <w:rFonts w:hint="eastAsia" w:ascii="黑体" w:hAnsi="黑体" w:eastAsia="黑体" w:cs="黑体"/>
                <w:color w:val="000000"/>
                <w:kern w:val="0"/>
                <w:sz w:val="18"/>
                <w:szCs w:val="18"/>
              </w:rPr>
              <w:br w:type="textWrapping"/>
            </w:r>
            <w:r>
              <w:rPr>
                <w:rFonts w:hint="eastAsia" w:ascii="黑体" w:hAnsi="黑体" w:eastAsia="黑体" w:cs="黑体"/>
                <w:color w:val="000000"/>
                <w:kern w:val="0"/>
                <w:sz w:val="18"/>
                <w:szCs w:val="18"/>
              </w:rPr>
              <w:t xml:space="preserve">其中执行财政资金：44.72万元    </w:t>
            </w:r>
          </w:p>
        </w:tc>
      </w:tr>
      <w:tr>
        <w:tblPrEx>
          <w:tblCellMar>
            <w:top w:w="0" w:type="dxa"/>
            <w:left w:w="108" w:type="dxa"/>
            <w:bottom w:w="0" w:type="dxa"/>
            <w:right w:w="108" w:type="dxa"/>
          </w:tblCellMar>
        </w:tblPrEx>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常年聘用</w:t>
            </w:r>
            <w:r>
              <w:rPr>
                <w:rFonts w:hint="eastAsia" w:ascii="宋体" w:hAnsi="宋体" w:eastAsia="宋体" w:cs="宋体"/>
                <w:color w:val="000000"/>
                <w:kern w:val="0"/>
                <w:sz w:val="18"/>
                <w:szCs w:val="18"/>
              </w:rPr>
              <w:t>校医</w:t>
            </w:r>
            <w:r>
              <w:rPr>
                <w:rFonts w:ascii="宋体" w:hAnsi="宋体" w:eastAsia="宋体" w:cs="宋体"/>
                <w:color w:val="000000"/>
                <w:kern w:val="0"/>
                <w:sz w:val="18"/>
                <w:szCs w:val="18"/>
              </w:rPr>
              <w:t>1名</w:t>
            </w:r>
            <w:r>
              <w:rPr>
                <w:rFonts w:hint="eastAsia" w:ascii="宋体" w:hAnsi="宋体" w:eastAsia="宋体" w:cs="宋体"/>
                <w:color w:val="000000"/>
                <w:kern w:val="0"/>
                <w:sz w:val="18"/>
                <w:szCs w:val="18"/>
              </w:rPr>
              <w:t>、后勤管理6名、食堂管理员1名</w:t>
            </w:r>
            <w:r>
              <w:rPr>
                <w:rFonts w:ascii="宋体" w:hAnsi="宋体" w:eastAsia="宋体" w:cs="宋体"/>
                <w:color w:val="000000"/>
                <w:kern w:val="0"/>
                <w:sz w:val="18"/>
                <w:szCs w:val="18"/>
              </w:rPr>
              <w:t>和保安</w:t>
            </w:r>
            <w:r>
              <w:rPr>
                <w:rFonts w:hint="eastAsia" w:ascii="宋体" w:hAnsi="宋体" w:eastAsia="宋体" w:cs="宋体"/>
                <w:color w:val="000000"/>
                <w:kern w:val="0"/>
                <w:sz w:val="18"/>
                <w:szCs w:val="18"/>
              </w:rPr>
              <w:t>5</w:t>
            </w:r>
            <w:r>
              <w:rPr>
                <w:rFonts w:ascii="宋体" w:hAnsi="宋体" w:eastAsia="宋体" w:cs="宋体"/>
                <w:color w:val="000000"/>
                <w:kern w:val="0"/>
                <w:sz w:val="18"/>
                <w:szCs w:val="18"/>
              </w:rPr>
              <w:t>名，</w:t>
            </w:r>
            <w:r>
              <w:rPr>
                <w:rFonts w:hint="eastAsia" w:ascii="宋体" w:hAnsi="宋体" w:eastAsia="宋体" w:cs="宋体"/>
                <w:color w:val="000000"/>
                <w:kern w:val="0"/>
                <w:sz w:val="18"/>
                <w:szCs w:val="18"/>
              </w:rPr>
              <w:t>后勤临聘</w:t>
            </w:r>
            <w:r>
              <w:rPr>
                <w:rFonts w:ascii="宋体" w:hAnsi="宋体" w:eastAsia="宋体" w:cs="宋体"/>
                <w:color w:val="000000"/>
                <w:kern w:val="0"/>
                <w:sz w:val="18"/>
                <w:szCs w:val="18"/>
              </w:rPr>
              <w:t>合同</w:t>
            </w:r>
            <w:r>
              <w:rPr>
                <w:rFonts w:hint="eastAsia" w:ascii="宋体" w:hAnsi="宋体" w:eastAsia="宋体" w:cs="宋体"/>
                <w:color w:val="000000"/>
                <w:kern w:val="0"/>
                <w:sz w:val="18"/>
                <w:szCs w:val="18"/>
              </w:rPr>
              <w:t>3200</w:t>
            </w:r>
            <w:r>
              <w:rPr>
                <w:rFonts w:ascii="宋体" w:hAnsi="宋体" w:eastAsia="宋体" w:cs="宋体"/>
                <w:color w:val="000000"/>
                <w:kern w:val="0"/>
                <w:sz w:val="18"/>
                <w:szCs w:val="18"/>
              </w:rPr>
              <w:t>元/月*</w:t>
            </w:r>
            <w:r>
              <w:rPr>
                <w:rFonts w:hint="eastAsia" w:ascii="宋体" w:hAnsi="宋体" w:eastAsia="宋体" w:cs="宋体"/>
                <w:color w:val="000000"/>
                <w:kern w:val="0"/>
                <w:sz w:val="18"/>
                <w:szCs w:val="18"/>
              </w:rPr>
              <w:t>10</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6</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19.2</w:t>
            </w:r>
            <w:r>
              <w:rPr>
                <w:rFonts w:ascii="宋体" w:hAnsi="宋体" w:eastAsia="宋体" w:cs="宋体"/>
                <w:color w:val="000000"/>
                <w:kern w:val="0"/>
                <w:sz w:val="18"/>
                <w:szCs w:val="18"/>
              </w:rPr>
              <w:t>万元；给保安公司签订的合同3500/人/月*12*</w:t>
            </w:r>
            <w:r>
              <w:rPr>
                <w:rFonts w:hint="eastAsia" w:ascii="宋体" w:hAnsi="宋体" w:eastAsia="宋体" w:cs="宋体"/>
                <w:color w:val="000000"/>
                <w:kern w:val="0"/>
                <w:sz w:val="18"/>
                <w:szCs w:val="18"/>
              </w:rPr>
              <w:t>5</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21.00</w:t>
            </w:r>
            <w:r>
              <w:rPr>
                <w:rFonts w:ascii="宋体" w:hAnsi="宋体" w:eastAsia="宋体" w:cs="宋体"/>
                <w:color w:val="000000"/>
                <w:kern w:val="0"/>
                <w:sz w:val="18"/>
                <w:szCs w:val="18"/>
              </w:rPr>
              <w:t>万元。根据攀教体发【2017】88号文建食堂，</w:t>
            </w:r>
            <w:r>
              <w:rPr>
                <w:rFonts w:hint="eastAsia" w:ascii="宋体" w:hAnsi="宋体" w:eastAsia="宋体" w:cs="宋体"/>
                <w:color w:val="000000"/>
                <w:kern w:val="0"/>
                <w:sz w:val="18"/>
                <w:szCs w:val="18"/>
              </w:rPr>
              <w:t>校医1</w:t>
            </w:r>
            <w:r>
              <w:rPr>
                <w:rFonts w:ascii="宋体" w:hAnsi="宋体" w:eastAsia="宋体" w:cs="宋体"/>
                <w:color w:val="000000"/>
                <w:kern w:val="0"/>
                <w:sz w:val="18"/>
                <w:szCs w:val="18"/>
              </w:rPr>
              <w:t>名，</w:t>
            </w:r>
            <w:r>
              <w:rPr>
                <w:rFonts w:hint="eastAsia" w:ascii="宋体" w:hAnsi="宋体" w:eastAsia="宋体" w:cs="宋体"/>
                <w:color w:val="000000"/>
                <w:kern w:val="0"/>
                <w:sz w:val="18"/>
                <w:szCs w:val="18"/>
              </w:rPr>
              <w:t>5200</w:t>
            </w:r>
            <w:r>
              <w:rPr>
                <w:rFonts w:ascii="宋体" w:hAnsi="宋体" w:eastAsia="宋体" w:cs="宋体"/>
                <w:color w:val="000000"/>
                <w:kern w:val="0"/>
                <w:sz w:val="18"/>
                <w:szCs w:val="18"/>
              </w:rPr>
              <w:t>/人/月*12*</w:t>
            </w: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6.24</w:t>
            </w:r>
            <w:r>
              <w:rPr>
                <w:rFonts w:ascii="宋体" w:hAnsi="宋体" w:eastAsia="宋体" w:cs="宋体"/>
                <w:color w:val="000000"/>
                <w:kern w:val="0"/>
                <w:sz w:val="18"/>
                <w:szCs w:val="18"/>
              </w:rPr>
              <w:t>万元，合计</w:t>
            </w:r>
            <w:r>
              <w:rPr>
                <w:rFonts w:hint="eastAsia" w:ascii="宋体" w:hAnsi="宋体" w:eastAsia="宋体" w:cs="宋体"/>
                <w:color w:val="000000"/>
                <w:kern w:val="0"/>
                <w:sz w:val="18"/>
                <w:szCs w:val="18"/>
              </w:rPr>
              <w:t>44.72</w:t>
            </w:r>
            <w:r>
              <w:rPr>
                <w:rFonts w:ascii="宋体" w:hAnsi="宋体" w:eastAsia="宋体" w:cs="宋体"/>
                <w:color w:val="000000"/>
                <w:kern w:val="0"/>
                <w:sz w:val="18"/>
                <w:szCs w:val="18"/>
              </w:rPr>
              <w:t>万元。</w:t>
            </w:r>
          </w:p>
        </w:tc>
      </w:tr>
      <w:tr>
        <w:tblPrEx>
          <w:tblCellMar>
            <w:top w:w="0" w:type="dxa"/>
            <w:left w:w="108" w:type="dxa"/>
            <w:bottom w:w="0" w:type="dxa"/>
            <w:right w:w="108" w:type="dxa"/>
          </w:tblCellMar>
        </w:tblPrEx>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44.72</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44.72</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44.72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44.72</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44.72</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44.72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blPrEx>
          <w:tblCellMar>
            <w:top w:w="0" w:type="dxa"/>
            <w:left w:w="108" w:type="dxa"/>
            <w:bottom w:w="0" w:type="dxa"/>
            <w:right w:w="108" w:type="dxa"/>
          </w:tblCellMar>
        </w:tblPrEx>
        <w:trPr>
          <w:trHeight w:val="45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2023年临聘人员劳务费</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447200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元/年</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447200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45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2023年临聘人员劳务费</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447200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元/年</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447200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45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2023年临聘人员劳务费</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447200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元/年</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447200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rPr>
          <w:trHeight w:val="45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成本指标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经济成本指标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2023年临聘人员劳务费</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447200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元/年</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sz w:val="16"/>
                <w:szCs w:val="16"/>
              </w:rPr>
              <w:t>447200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1．保障师生生命、财产安全，维护教育教学正常运行。</w:t>
            </w:r>
            <w:r>
              <w:rPr>
                <w:rFonts w:hint="eastAsia" w:ascii="微软雅黑" w:hAnsi="微软雅黑" w:eastAsia="微软雅黑" w:cs="微软雅黑"/>
                <w:iCs/>
                <w:color w:val="000000"/>
                <w:kern w:val="0"/>
                <w:sz w:val="16"/>
                <w:szCs w:val="16"/>
              </w:rPr>
              <w:br w:type="textWrapping"/>
            </w:r>
            <w:r>
              <w:rPr>
                <w:rFonts w:hint="eastAsia" w:ascii="微软雅黑" w:hAnsi="微软雅黑" w:eastAsia="微软雅黑" w:cs="微软雅黑"/>
                <w:iCs/>
                <w:color w:val="000000"/>
                <w:kern w:val="0"/>
                <w:sz w:val="16"/>
                <w:szCs w:val="16"/>
              </w:rPr>
              <w:t>2.落实营养膳食计划，提高学生身体健康水平。</w:t>
            </w:r>
            <w:r>
              <w:rPr>
                <w:rFonts w:hint="eastAsia" w:ascii="微软雅黑" w:hAnsi="微软雅黑" w:eastAsia="微软雅黑" w:cs="微软雅黑"/>
                <w:iCs/>
                <w:color w:val="000000"/>
                <w:kern w:val="0"/>
                <w:sz w:val="16"/>
                <w:szCs w:val="16"/>
              </w:rPr>
              <w:br w:type="textWrapping"/>
            </w:r>
            <w:r>
              <w:rPr>
                <w:rFonts w:hint="eastAsia" w:ascii="微软雅黑" w:hAnsi="微软雅黑" w:eastAsia="微软雅黑" w:cs="微软雅黑"/>
                <w:iCs/>
                <w:color w:val="000000"/>
                <w:kern w:val="0"/>
                <w:sz w:val="16"/>
                <w:szCs w:val="16"/>
              </w:rPr>
              <w:t>3.保障学校财产安全、美化校园环境。</w:t>
            </w:r>
            <w:r>
              <w:rPr>
                <w:rFonts w:hint="eastAsia" w:ascii="微软雅黑" w:hAnsi="微软雅黑" w:eastAsia="微软雅黑" w:cs="微软雅黑"/>
                <w:iCs/>
                <w:color w:val="000000"/>
                <w:kern w:val="0"/>
                <w:sz w:val="16"/>
                <w:szCs w:val="16"/>
              </w:rPr>
              <w:br w:type="textWrapping"/>
            </w:r>
            <w:r>
              <w:rPr>
                <w:rFonts w:hint="eastAsia" w:ascii="微软雅黑" w:hAnsi="微软雅黑" w:eastAsia="微软雅黑" w:cs="微软雅黑"/>
                <w:iCs/>
                <w:color w:val="000000"/>
                <w:kern w:val="0"/>
                <w:sz w:val="16"/>
                <w:szCs w:val="16"/>
              </w:rPr>
              <w:t xml:space="preserve">执行资金总额： 44.72万元           </w:t>
            </w:r>
            <w:r>
              <w:rPr>
                <w:rFonts w:hint="eastAsia" w:ascii="微软雅黑" w:hAnsi="微软雅黑" w:eastAsia="微软雅黑" w:cs="微软雅黑"/>
                <w:iCs/>
                <w:color w:val="000000"/>
                <w:kern w:val="0"/>
                <w:sz w:val="16"/>
                <w:szCs w:val="16"/>
              </w:rPr>
              <w:br w:type="textWrapping"/>
            </w:r>
            <w:r>
              <w:rPr>
                <w:rFonts w:hint="eastAsia" w:ascii="微软雅黑" w:hAnsi="微软雅黑" w:eastAsia="微软雅黑" w:cs="微软雅黑"/>
                <w:iCs/>
                <w:color w:val="000000"/>
                <w:kern w:val="0"/>
                <w:sz w:val="16"/>
                <w:szCs w:val="16"/>
              </w:rPr>
              <w:t xml:space="preserve">其中执行财政资金：44.72万元 </w:t>
            </w:r>
          </w:p>
        </w:tc>
      </w:tr>
      <w:tr>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执行情况良好</w:t>
            </w:r>
          </w:p>
        </w:tc>
      </w:tr>
      <w:tr>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blPrEx>
          <w:tblCellMar>
            <w:top w:w="0" w:type="dxa"/>
            <w:left w:w="108" w:type="dxa"/>
            <w:bottom w:w="0" w:type="dxa"/>
            <w:right w:w="108" w:type="dxa"/>
          </w:tblCellMar>
        </w:tblPrEx>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blPrEx>
          <w:tblCellMar>
            <w:top w:w="0" w:type="dxa"/>
            <w:left w:w="108" w:type="dxa"/>
            <w:bottom w:w="0" w:type="dxa"/>
            <w:right w:w="108" w:type="dxa"/>
          </w:tblCellMar>
        </w:tblPrEx>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r>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rPr>
          <w:trHeight w:val="285"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51048923T000009661884-教育资助类政策性市级补助资金</w:t>
            </w:r>
          </w:p>
        </w:tc>
      </w:tr>
      <w:tr>
        <w:tblPrEx>
          <w:tblCellMar>
            <w:top w:w="0" w:type="dxa"/>
            <w:left w:w="108" w:type="dxa"/>
            <w:bottom w:w="0" w:type="dxa"/>
            <w:right w:w="108" w:type="dxa"/>
          </w:tblCellMar>
        </w:tblPrEx>
        <w:trPr>
          <w:trHeight w:val="514" w:hRule="atLeast"/>
        </w:trPr>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小学部门</w:t>
            </w:r>
          </w:p>
        </w:tc>
        <w:tc>
          <w:tcPr>
            <w:tcW w:w="497" w:type="pct"/>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攀枝花市仁和区</w:t>
            </w:r>
            <w:r>
              <w:rPr>
                <w:rFonts w:hint="eastAsia" w:ascii="宋体" w:hAnsi="宋体" w:eastAsia="宋体" w:cs="宋体"/>
                <w:color w:val="000000"/>
                <w:kern w:val="0"/>
                <w:sz w:val="18"/>
                <w:szCs w:val="18"/>
              </w:rPr>
              <w:t>金江中</w:t>
            </w:r>
            <w:r>
              <w:rPr>
                <w:rFonts w:ascii="宋体" w:hAnsi="宋体" w:eastAsia="宋体" w:cs="宋体"/>
                <w:color w:val="000000"/>
                <w:kern w:val="0"/>
                <w:sz w:val="18"/>
                <w:szCs w:val="18"/>
              </w:rPr>
              <w:t>小学</w:t>
            </w:r>
          </w:p>
        </w:tc>
      </w:tr>
      <w:tr>
        <w:tblPrEx>
          <w:tblCellMar>
            <w:top w:w="0" w:type="dxa"/>
            <w:left w:w="108" w:type="dxa"/>
            <w:bottom w:w="0" w:type="dxa"/>
            <w:right w:w="108" w:type="dxa"/>
          </w:tblCellMar>
        </w:tblPrEx>
        <w:trPr>
          <w:trHeight w:val="285"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rPr>
          <w:trHeight w:val="7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3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四川省为了落实城乡义务教育经费保障机制，对城乡义务教育学校学生免除了学杂费、教科书及作业本费。</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提高农村学生健康水平，加快农村教育发展，促进教育公平。</w:t>
            </w:r>
          </w:p>
        </w:tc>
      </w:tr>
      <w:tr>
        <w:trPr>
          <w:trHeight w:val="694"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10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进一步改善农村学生营养状况，提高农村学生健康水平，加快农村教育发展，促进教育公平。</w:t>
            </w:r>
          </w:p>
        </w:tc>
      </w:tr>
      <w:tr>
        <w:tblPrEx>
          <w:tblCellMar>
            <w:top w:w="0" w:type="dxa"/>
            <w:left w:w="108" w:type="dxa"/>
            <w:bottom w:w="0" w:type="dxa"/>
            <w:right w:w="108" w:type="dxa"/>
          </w:tblCellMar>
        </w:tblPrEx>
        <w:trPr>
          <w:trHeight w:val="3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blPrEx>
          <w:tblCellMar>
            <w:top w:w="0" w:type="dxa"/>
            <w:left w:w="108" w:type="dxa"/>
            <w:bottom w:w="0" w:type="dxa"/>
            <w:right w:w="108" w:type="dxa"/>
          </w:tblCellMar>
        </w:tblPrEx>
        <w:trPr>
          <w:trHeight w:val="34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25</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25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w:t>
            </w: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rPr>
          <w:trHeight w:val="39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25</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25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w:t>
            </w: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09"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blPrEx>
          <w:tblCellMar>
            <w:top w:w="0" w:type="dxa"/>
            <w:left w:w="108" w:type="dxa"/>
            <w:bottom w:w="0" w:type="dxa"/>
            <w:right w:w="108" w:type="dxa"/>
          </w:tblCellMar>
        </w:tblPrEx>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1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Cs/>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Cs/>
                <w:color w:val="000000"/>
                <w:sz w:val="18"/>
                <w:szCs w:val="18"/>
              </w:rPr>
            </w:pPr>
          </w:p>
        </w:tc>
      </w:tr>
      <w:tr>
        <w:trPr>
          <w:trHeight w:val="454"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rPr>
          <w:trHeight w:val="338"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25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0.25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Cs/>
                <w:color w:val="000000"/>
                <w:sz w:val="16"/>
                <w:szCs w:val="16"/>
              </w:rPr>
            </w:pPr>
          </w:p>
        </w:tc>
      </w:tr>
      <w:tr>
        <w:tblPrEx>
          <w:tblCellMar>
            <w:top w:w="0" w:type="dxa"/>
            <w:left w:w="108" w:type="dxa"/>
            <w:bottom w:w="0" w:type="dxa"/>
            <w:right w:w="108" w:type="dxa"/>
          </w:tblCellMar>
        </w:tblPrEx>
        <w:trPr>
          <w:trHeight w:val="285" w:hRule="atLeast"/>
        </w:trPr>
        <w:tc>
          <w:tcPr>
            <w:tcW w:w="369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提高农村学生健康水平，加快农村教育发展，促进教育公平。</w:t>
            </w:r>
          </w:p>
        </w:tc>
      </w:tr>
      <w:tr>
        <w:trPr>
          <w:trHeight w:val="57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p>
        </w:tc>
      </w:tr>
      <w:tr>
        <w:trPr>
          <w:trHeight w:val="63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tblPrEx>
          <w:tblCellMar>
            <w:top w:w="0" w:type="dxa"/>
            <w:left w:w="108" w:type="dxa"/>
            <w:bottom w:w="0" w:type="dxa"/>
            <w:right w:w="108" w:type="dxa"/>
          </w:tblCellMar>
        </w:tblPrEx>
        <w:trPr>
          <w:trHeight w:val="285" w:hRule="atLeast"/>
        </w:trPr>
        <w:tc>
          <w:tcPr>
            <w:tcW w:w="23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项目负责人：李斗波</w:t>
            </w:r>
          </w:p>
        </w:tc>
        <w:tc>
          <w:tcPr>
            <w:tcW w:w="268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财务负责人：刘代星</w:t>
            </w:r>
          </w:p>
        </w:tc>
      </w:tr>
      <w:tr>
        <w:tblPrEx>
          <w:tblCellMar>
            <w:top w:w="0" w:type="dxa"/>
            <w:left w:w="108" w:type="dxa"/>
            <w:bottom w:w="0" w:type="dxa"/>
            <w:right w:w="108" w:type="dxa"/>
          </w:tblCellMar>
        </w:tblPrEx>
        <w:trPr>
          <w:trHeight w:val="285" w:hRule="atLeast"/>
        </w:trPr>
        <w:tc>
          <w:tcPr>
            <w:tcW w:w="33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55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7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08"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32"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43"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497"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285"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734" w:type="pct"/>
            <w:tcBorders>
              <w:top w:val="nil"/>
              <w:left w:val="nil"/>
              <w:bottom w:val="nil"/>
              <w:right w:val="nil"/>
            </w:tcBorders>
            <w:shd w:val="clear" w:color="auto" w:fill="auto"/>
            <w:vAlign w:val="center"/>
          </w:tcPr>
          <w:p>
            <w:pPr>
              <w:rPr>
                <w:rFonts w:ascii="宋体" w:hAnsi="宋体" w:eastAsia="宋体" w:cs="宋体"/>
                <w:color w:val="000000"/>
                <w:sz w:val="18"/>
                <w:szCs w:val="18"/>
              </w:rPr>
            </w:pPr>
          </w:p>
        </w:tc>
      </w:tr>
    </w:tbl>
    <w:p>
      <w:pPr>
        <w:spacing w:line="600" w:lineRule="exact"/>
        <w:jc w:val="center"/>
        <w:outlineLvl w:val="0"/>
        <w:rPr>
          <w:rFonts w:ascii="仿宋" w:hAnsi="仿宋" w:eastAsia="仿宋"/>
        </w:rPr>
      </w:pPr>
      <w:r>
        <w:rPr>
          <w:rFonts w:ascii="黑体" w:hAnsi="Cambria" w:eastAsia="黑体" w:cs="黑体"/>
          <w:kern w:val="44"/>
          <w:sz w:val="44"/>
          <w:szCs w:val="44"/>
        </w:rPr>
        <w:br w:type="page"/>
      </w:r>
      <w:bookmarkStart w:id="109" w:name="_Toc148972680"/>
      <w:r>
        <w:rPr>
          <w:rFonts w:hint="eastAsia" w:ascii="黑体" w:hAnsi="黑体" w:eastAsia="黑体"/>
          <w:sz w:val="44"/>
          <w:szCs w:val="44"/>
        </w:rPr>
        <w:t>第</w:t>
      </w:r>
      <w:r>
        <w:rPr>
          <w:rStyle w:val="26"/>
          <w:rFonts w:hint="eastAsia" w:ascii="黑体" w:hAnsi="黑体" w:eastAsia="黑体"/>
          <w:b w:val="0"/>
        </w:rPr>
        <w:t>五部分 附表</w:t>
      </w:r>
      <w:bookmarkEnd w:id="107"/>
      <w:bookmarkEnd w:id="108"/>
      <w:bookmarkEnd w:id="109"/>
      <w:bookmarkStart w:id="110" w:name="_Toc15396619"/>
    </w:p>
    <w:bookmarkEnd w:id="110"/>
    <w:p>
      <w:pPr>
        <w:pStyle w:val="3"/>
        <w:spacing w:line="408" w:lineRule="auto"/>
        <w:rPr>
          <w:rFonts w:ascii="仿宋" w:eastAsia="仿宋" w:cs="仿宋"/>
          <w:b w:val="0"/>
          <w:bCs w:val="0"/>
        </w:rPr>
      </w:pPr>
      <w:bookmarkStart w:id="111" w:name="_Toc148972681"/>
      <w:r>
        <w:rPr>
          <w:rFonts w:hint="eastAsia" w:ascii="仿宋" w:eastAsia="仿宋" w:cs="仿宋"/>
          <w:b w:val="0"/>
        </w:rPr>
        <w:t>一、收入支出决算总表</w:t>
      </w:r>
      <w:bookmarkEnd w:id="111"/>
    </w:p>
    <w:p>
      <w:pPr>
        <w:pStyle w:val="3"/>
        <w:spacing w:line="408" w:lineRule="auto"/>
        <w:rPr>
          <w:rFonts w:ascii="仿宋" w:eastAsia="仿宋" w:cs="仿宋"/>
          <w:b w:val="0"/>
          <w:bCs w:val="0"/>
        </w:rPr>
      </w:pPr>
      <w:bookmarkStart w:id="112" w:name="_Toc148972682"/>
      <w:r>
        <w:rPr>
          <w:rFonts w:hint="eastAsia" w:ascii="仿宋" w:eastAsia="仿宋" w:cs="仿宋"/>
          <w:b w:val="0"/>
        </w:rPr>
        <w:t>二、收入决算表</w:t>
      </w:r>
      <w:bookmarkEnd w:id="112"/>
    </w:p>
    <w:p>
      <w:pPr>
        <w:pStyle w:val="3"/>
        <w:spacing w:line="408" w:lineRule="auto"/>
        <w:rPr>
          <w:rFonts w:ascii="仿宋" w:eastAsia="仿宋" w:cs="仿宋"/>
          <w:b w:val="0"/>
          <w:bCs w:val="0"/>
        </w:rPr>
      </w:pPr>
      <w:bookmarkStart w:id="113" w:name="_Toc148972683"/>
      <w:r>
        <w:rPr>
          <w:rFonts w:hint="eastAsia" w:ascii="仿宋" w:eastAsia="仿宋" w:cs="仿宋"/>
          <w:b w:val="0"/>
        </w:rPr>
        <w:t>三、支出决算表</w:t>
      </w:r>
      <w:bookmarkEnd w:id="113"/>
    </w:p>
    <w:p>
      <w:pPr>
        <w:pStyle w:val="3"/>
        <w:spacing w:line="408" w:lineRule="auto"/>
        <w:rPr>
          <w:rFonts w:ascii="仿宋" w:eastAsia="仿宋" w:cs="仿宋"/>
          <w:b w:val="0"/>
        </w:rPr>
      </w:pPr>
      <w:bookmarkStart w:id="114" w:name="_Toc148972684"/>
      <w:r>
        <w:rPr>
          <w:rFonts w:hint="eastAsia" w:ascii="仿宋" w:eastAsia="仿宋" w:cs="仿宋"/>
          <w:b w:val="0"/>
        </w:rPr>
        <w:t>四、财政拨款收入支出决算总表</w:t>
      </w:r>
      <w:bookmarkEnd w:id="114"/>
    </w:p>
    <w:p>
      <w:pPr>
        <w:pStyle w:val="3"/>
        <w:spacing w:line="408" w:lineRule="auto"/>
        <w:rPr>
          <w:rFonts w:ascii="仿宋" w:eastAsia="仿宋" w:cs="仿宋"/>
          <w:b w:val="0"/>
        </w:rPr>
      </w:pPr>
      <w:bookmarkStart w:id="115" w:name="_Toc148972685"/>
      <w:r>
        <w:rPr>
          <w:rFonts w:hint="eastAsia" w:ascii="仿宋" w:eastAsia="仿宋" w:cs="仿宋"/>
          <w:b w:val="0"/>
        </w:rPr>
        <w:t>五、财政拨款支出决算明细表</w:t>
      </w:r>
      <w:bookmarkEnd w:id="115"/>
    </w:p>
    <w:p>
      <w:pPr>
        <w:pStyle w:val="3"/>
        <w:spacing w:line="408" w:lineRule="auto"/>
        <w:rPr>
          <w:rFonts w:ascii="仿宋" w:eastAsia="仿宋" w:cs="仿宋"/>
          <w:b w:val="0"/>
          <w:bCs w:val="0"/>
        </w:rPr>
      </w:pPr>
      <w:bookmarkStart w:id="116" w:name="_Toc148972686"/>
      <w:r>
        <w:rPr>
          <w:rFonts w:hint="eastAsia" w:ascii="仿宋" w:eastAsia="仿宋" w:cs="仿宋"/>
          <w:b w:val="0"/>
        </w:rPr>
        <w:t>六、一般公共预算财政拨款支出决算表</w:t>
      </w:r>
      <w:bookmarkEnd w:id="116"/>
    </w:p>
    <w:p>
      <w:pPr>
        <w:pStyle w:val="3"/>
        <w:spacing w:line="408" w:lineRule="auto"/>
        <w:rPr>
          <w:rFonts w:ascii="仿宋" w:eastAsia="仿宋" w:cs="仿宋"/>
          <w:b w:val="0"/>
          <w:bCs w:val="0"/>
        </w:rPr>
      </w:pPr>
      <w:bookmarkStart w:id="117" w:name="_Toc148972687"/>
      <w:r>
        <w:rPr>
          <w:rFonts w:hint="eastAsia" w:ascii="仿宋" w:eastAsia="仿宋" w:cs="仿宋"/>
          <w:b w:val="0"/>
        </w:rPr>
        <w:t>七、一般公共预算财政拨款支出决算明细表</w:t>
      </w:r>
      <w:bookmarkEnd w:id="117"/>
    </w:p>
    <w:p>
      <w:pPr>
        <w:pStyle w:val="3"/>
        <w:spacing w:line="408" w:lineRule="auto"/>
        <w:rPr>
          <w:rFonts w:ascii="仿宋" w:eastAsia="仿宋" w:cs="仿宋"/>
          <w:b w:val="0"/>
          <w:bCs w:val="0"/>
        </w:rPr>
      </w:pPr>
      <w:bookmarkStart w:id="118" w:name="_Toc148972688"/>
      <w:r>
        <w:rPr>
          <w:rFonts w:hint="eastAsia" w:ascii="仿宋" w:eastAsia="仿宋" w:cs="仿宋"/>
          <w:b w:val="0"/>
        </w:rPr>
        <w:t>八、一般公共预算财政拨款基本支出决算表</w:t>
      </w:r>
      <w:bookmarkEnd w:id="118"/>
    </w:p>
    <w:p>
      <w:pPr>
        <w:pStyle w:val="3"/>
        <w:spacing w:line="408" w:lineRule="auto"/>
        <w:rPr>
          <w:rFonts w:ascii="仿宋" w:eastAsia="仿宋" w:cs="仿宋"/>
          <w:b w:val="0"/>
          <w:bCs w:val="0"/>
        </w:rPr>
      </w:pPr>
      <w:bookmarkStart w:id="119" w:name="_Toc148972689"/>
      <w:r>
        <w:rPr>
          <w:rFonts w:hint="eastAsia" w:ascii="仿宋" w:eastAsia="仿宋" w:cs="仿宋"/>
          <w:b w:val="0"/>
        </w:rPr>
        <w:t>九、一般公共预算财政拨款项目支出决算表</w:t>
      </w:r>
      <w:bookmarkEnd w:id="119"/>
    </w:p>
    <w:p>
      <w:pPr>
        <w:pStyle w:val="3"/>
        <w:spacing w:line="408" w:lineRule="auto"/>
        <w:rPr>
          <w:rFonts w:ascii="仿宋" w:eastAsia="仿宋" w:cs="仿宋"/>
          <w:b w:val="0"/>
          <w:bCs w:val="0"/>
        </w:rPr>
      </w:pPr>
      <w:bookmarkStart w:id="120" w:name="_Toc148972690"/>
      <w:r>
        <w:rPr>
          <w:rFonts w:hint="eastAsia" w:ascii="仿宋" w:eastAsia="仿宋" w:cs="仿宋"/>
          <w:b w:val="0"/>
        </w:rPr>
        <w:t>十、政府性基金预算财政拨款收入支出决算表</w:t>
      </w:r>
      <w:bookmarkEnd w:id="120"/>
    </w:p>
    <w:p>
      <w:pPr>
        <w:pStyle w:val="3"/>
        <w:spacing w:line="408" w:lineRule="auto"/>
        <w:rPr>
          <w:rFonts w:ascii="仿宋" w:eastAsia="仿宋" w:cs="仿宋"/>
          <w:b w:val="0"/>
          <w:bCs w:val="0"/>
        </w:rPr>
      </w:pPr>
      <w:bookmarkStart w:id="121" w:name="_Toc148972691"/>
      <w:r>
        <w:rPr>
          <w:rFonts w:hint="eastAsia" w:ascii="仿宋" w:eastAsia="仿宋" w:cs="仿宋"/>
          <w:b w:val="0"/>
        </w:rPr>
        <w:t>十一、国有资本经营预算财政拨款收入支出决算表</w:t>
      </w:r>
      <w:bookmarkEnd w:id="121"/>
    </w:p>
    <w:p>
      <w:pPr>
        <w:pStyle w:val="3"/>
        <w:spacing w:line="408" w:lineRule="auto"/>
        <w:rPr>
          <w:rFonts w:ascii="仿宋" w:eastAsia="仿宋" w:cs="仿宋"/>
          <w:b w:val="0"/>
          <w:bCs w:val="0"/>
        </w:rPr>
      </w:pPr>
      <w:bookmarkStart w:id="122" w:name="_Toc148972692"/>
      <w:r>
        <w:rPr>
          <w:rFonts w:hint="eastAsia" w:ascii="仿宋" w:eastAsia="仿宋" w:cs="仿宋"/>
          <w:b w:val="0"/>
        </w:rPr>
        <w:t>十二、国有资本经营预算财政拨款支出决算表</w:t>
      </w:r>
      <w:bookmarkEnd w:id="122"/>
    </w:p>
    <w:p>
      <w:pPr>
        <w:pStyle w:val="3"/>
        <w:spacing w:line="408" w:lineRule="auto"/>
        <w:rPr>
          <w:rFonts w:ascii="仿宋" w:eastAsia="仿宋" w:cs="仿宋"/>
          <w:b w:val="0"/>
          <w:bCs w:val="0"/>
        </w:rPr>
      </w:pPr>
      <w:bookmarkStart w:id="123" w:name="_Toc148972693"/>
      <w:r>
        <w:rPr>
          <w:rFonts w:hint="eastAsia" w:ascii="仿宋" w:eastAsia="仿宋" w:cs="仿宋"/>
          <w:b w:val="0"/>
        </w:rPr>
        <w:t>十三、财政拨款</w:t>
      </w:r>
      <w:r>
        <w:rPr>
          <w:rFonts w:ascii="仿宋" w:eastAsia="仿宋" w:cs="仿宋"/>
          <w:b w:val="0"/>
        </w:rPr>
        <w:t>“</w:t>
      </w:r>
      <w:r>
        <w:rPr>
          <w:rFonts w:hint="eastAsia" w:ascii="仿宋" w:eastAsia="仿宋" w:cs="仿宋"/>
          <w:b w:val="0"/>
        </w:rPr>
        <w:t>三公</w:t>
      </w:r>
      <w:r>
        <w:rPr>
          <w:rFonts w:ascii="仿宋" w:eastAsia="仿宋" w:cs="仿宋"/>
          <w:b w:val="0"/>
        </w:rPr>
        <w:t>”</w:t>
      </w:r>
      <w:r>
        <w:rPr>
          <w:rFonts w:hint="eastAsia" w:ascii="仿宋" w:eastAsia="仿宋" w:cs="仿宋"/>
          <w:b w:val="0"/>
        </w:rPr>
        <w:t>经费支出决算表</w:t>
      </w:r>
      <w:bookmarkEnd w:id="123"/>
    </w:p>
    <w:sectPr>
      <w:footerReference r:id="rId10" w:type="first"/>
      <w:footerReference r:id="rId9" w:type="default"/>
      <w:pgSz w:w="11906" w:h="16838"/>
      <w:pgMar w:top="1440" w:right="1800" w:bottom="156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Text Box 7" o:spid="_x0000_s9219"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P5kSJ6nAgAAqAUAAA4AAAAAAAAAAAAAAAAALgIAAGRy&#10;cy9lMm9Eb2MueG1sUEsBAi0AFAAGAAgAAAAhAAxK8O7WAAAABQEAAA8AAAAAAAAAAAAAAAAAAQUA&#10;AGRycy9kb3ducmV2LnhtbFBLBQYAAAAABAAEAPMAAAAEBgAAAAA=&#10;">
          <v:path/>
          <v:fill on="f" focussize="0,0"/>
          <v:stroke on="f" joinstyle="miter"/>
          <v:imagedata o:title=""/>
          <o:lock v:ext="edit"/>
          <v:textbox inset="0mm,0mm,0mm,0mm" style="mso-fit-shape-to-text:t;">
            <w:txbxContent>
              <w:p>
                <w:pPr>
                  <w:pStyle w:val="11"/>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Text Box 3" o:spid="_x0000_s9218" o:spt="202" type="#_x0000_t202" style="position:absolute;left:0pt;margin-top:0pt;height:36.9pt;width:69.05pt;mso-position-horizontal:center;mso-position-horizontal-relative:margin;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owsQIAAK8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">
          <v:path/>
          <v:fill on="f" focussize="0,0"/>
          <v:stroke on="f" joinstyle="miter"/>
          <v:imagedata o:title=""/>
          <o:lock v:ext="edit"/>
          <v:textbox inset="0mm,0mm,0mm,0mm">
            <w:txbxContent>
              <w:p>
                <w:pPr>
                  <w:pStyle w:val="11"/>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38</w:t>
                </w:r>
                <w:r>
                  <w:rPr>
                    <w:sz w:val="21"/>
                    <w:szCs w:val="21"/>
                  </w:rPr>
                  <w:fldChar w:fldCharType="end"/>
                </w:r>
              </w:p>
            </w:txbxContent>
          </v:textbox>
        </v:shape>
      </w:pic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Text Box 4" o:spid="_x0000_s9217" o:spt="202" type="#_x0000_t202" style="position:absolute;left:0pt;margin-top:0pt;height:10.35pt;width:4.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EWqgIAAKw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hdrShapeDefaults>
    <o:shapelayout v:ext="edit">
      <o:idmap v:ext="edit" data="9"/>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kwZTQ3ODM5M2E4ZTcxNGI1ZTIwYjZmZGZjMzQ0Y2EifQ=="/>
  </w:docVars>
  <w:rsids>
    <w:rsidRoot w:val="00F1361C"/>
    <w:rsid w:val="00004287"/>
    <w:rsid w:val="000057DA"/>
    <w:rsid w:val="000146BA"/>
    <w:rsid w:val="000222C6"/>
    <w:rsid w:val="0002549F"/>
    <w:rsid w:val="00043CA5"/>
    <w:rsid w:val="000468DB"/>
    <w:rsid w:val="00053B48"/>
    <w:rsid w:val="00061601"/>
    <w:rsid w:val="0006487A"/>
    <w:rsid w:val="00065F8F"/>
    <w:rsid w:val="00070A43"/>
    <w:rsid w:val="000768F2"/>
    <w:rsid w:val="00077175"/>
    <w:rsid w:val="00082F91"/>
    <w:rsid w:val="0009184B"/>
    <w:rsid w:val="00094236"/>
    <w:rsid w:val="0009593C"/>
    <w:rsid w:val="00097322"/>
    <w:rsid w:val="00097600"/>
    <w:rsid w:val="000A6A92"/>
    <w:rsid w:val="000B047F"/>
    <w:rsid w:val="000B1E5B"/>
    <w:rsid w:val="000B3211"/>
    <w:rsid w:val="000B428F"/>
    <w:rsid w:val="000B5923"/>
    <w:rsid w:val="000B5A48"/>
    <w:rsid w:val="000B6FF3"/>
    <w:rsid w:val="000C3467"/>
    <w:rsid w:val="000C3CA6"/>
    <w:rsid w:val="000C4DB4"/>
    <w:rsid w:val="000D1267"/>
    <w:rsid w:val="000D1D50"/>
    <w:rsid w:val="000D213E"/>
    <w:rsid w:val="000D5782"/>
    <w:rsid w:val="000E6613"/>
    <w:rsid w:val="000E7119"/>
    <w:rsid w:val="000F0569"/>
    <w:rsid w:val="000F562A"/>
    <w:rsid w:val="001111AA"/>
    <w:rsid w:val="00114E9B"/>
    <w:rsid w:val="00115301"/>
    <w:rsid w:val="001252AB"/>
    <w:rsid w:val="001319E1"/>
    <w:rsid w:val="00142216"/>
    <w:rsid w:val="00144D6A"/>
    <w:rsid w:val="0014729F"/>
    <w:rsid w:val="00152A2D"/>
    <w:rsid w:val="00157BAB"/>
    <w:rsid w:val="001654D1"/>
    <w:rsid w:val="00174518"/>
    <w:rsid w:val="00180D5E"/>
    <w:rsid w:val="0018106D"/>
    <w:rsid w:val="001877A7"/>
    <w:rsid w:val="00191536"/>
    <w:rsid w:val="00196687"/>
    <w:rsid w:val="001A09F9"/>
    <w:rsid w:val="001B4E8B"/>
    <w:rsid w:val="001B640C"/>
    <w:rsid w:val="001C0962"/>
    <w:rsid w:val="001C1F6D"/>
    <w:rsid w:val="001C3285"/>
    <w:rsid w:val="001C41B1"/>
    <w:rsid w:val="001C4F88"/>
    <w:rsid w:val="001D7531"/>
    <w:rsid w:val="001E737D"/>
    <w:rsid w:val="001F0592"/>
    <w:rsid w:val="001F7506"/>
    <w:rsid w:val="002006CD"/>
    <w:rsid w:val="00202B36"/>
    <w:rsid w:val="00204B7A"/>
    <w:rsid w:val="00204CDE"/>
    <w:rsid w:val="0020781F"/>
    <w:rsid w:val="0021101A"/>
    <w:rsid w:val="00220536"/>
    <w:rsid w:val="00221623"/>
    <w:rsid w:val="00222C1E"/>
    <w:rsid w:val="002241B3"/>
    <w:rsid w:val="00235629"/>
    <w:rsid w:val="002356A5"/>
    <w:rsid w:val="00235845"/>
    <w:rsid w:val="00237C30"/>
    <w:rsid w:val="002461BB"/>
    <w:rsid w:val="00256262"/>
    <w:rsid w:val="00260C38"/>
    <w:rsid w:val="002616C0"/>
    <w:rsid w:val="0026187E"/>
    <w:rsid w:val="00265372"/>
    <w:rsid w:val="002662AA"/>
    <w:rsid w:val="00280496"/>
    <w:rsid w:val="00283DAD"/>
    <w:rsid w:val="00291911"/>
    <w:rsid w:val="002948FF"/>
    <w:rsid w:val="00294985"/>
    <w:rsid w:val="00294DC9"/>
    <w:rsid w:val="00295495"/>
    <w:rsid w:val="002A31DE"/>
    <w:rsid w:val="002A42C3"/>
    <w:rsid w:val="002B0CC9"/>
    <w:rsid w:val="002B2613"/>
    <w:rsid w:val="002D28F8"/>
    <w:rsid w:val="002D6D05"/>
    <w:rsid w:val="002F1818"/>
    <w:rsid w:val="002F4E1F"/>
    <w:rsid w:val="002F567B"/>
    <w:rsid w:val="0031754B"/>
    <w:rsid w:val="003216A9"/>
    <w:rsid w:val="00333A19"/>
    <w:rsid w:val="00335A74"/>
    <w:rsid w:val="00344C35"/>
    <w:rsid w:val="00355ABD"/>
    <w:rsid w:val="0036561B"/>
    <w:rsid w:val="00365683"/>
    <w:rsid w:val="0037013F"/>
    <w:rsid w:val="00375D0B"/>
    <w:rsid w:val="00380C92"/>
    <w:rsid w:val="003922DF"/>
    <w:rsid w:val="00394F55"/>
    <w:rsid w:val="003A484F"/>
    <w:rsid w:val="003A4883"/>
    <w:rsid w:val="003B0BE0"/>
    <w:rsid w:val="003B0C1B"/>
    <w:rsid w:val="003B5DD7"/>
    <w:rsid w:val="003B688C"/>
    <w:rsid w:val="003C0291"/>
    <w:rsid w:val="003C39AE"/>
    <w:rsid w:val="003C3F5C"/>
    <w:rsid w:val="003C7B60"/>
    <w:rsid w:val="003D0C0F"/>
    <w:rsid w:val="003D1FB2"/>
    <w:rsid w:val="003D5D24"/>
    <w:rsid w:val="003D66DA"/>
    <w:rsid w:val="003E1310"/>
    <w:rsid w:val="003E221A"/>
    <w:rsid w:val="003E3920"/>
    <w:rsid w:val="003E6F55"/>
    <w:rsid w:val="00402EA9"/>
    <w:rsid w:val="00406254"/>
    <w:rsid w:val="00413DF4"/>
    <w:rsid w:val="004201E0"/>
    <w:rsid w:val="004223DE"/>
    <w:rsid w:val="00434489"/>
    <w:rsid w:val="00437085"/>
    <w:rsid w:val="004410CB"/>
    <w:rsid w:val="00443880"/>
    <w:rsid w:val="004464F4"/>
    <w:rsid w:val="004634BA"/>
    <w:rsid w:val="00464D8D"/>
    <w:rsid w:val="00471401"/>
    <w:rsid w:val="00473F31"/>
    <w:rsid w:val="0048263A"/>
    <w:rsid w:val="004848E3"/>
    <w:rsid w:val="0048689D"/>
    <w:rsid w:val="00487E5D"/>
    <w:rsid w:val="004A711F"/>
    <w:rsid w:val="004B199D"/>
    <w:rsid w:val="004B4690"/>
    <w:rsid w:val="004C1B1F"/>
    <w:rsid w:val="004E0A2D"/>
    <w:rsid w:val="004E206B"/>
    <w:rsid w:val="004E6DF7"/>
    <w:rsid w:val="004E7184"/>
    <w:rsid w:val="004F0FBD"/>
    <w:rsid w:val="00500AF3"/>
    <w:rsid w:val="00505A47"/>
    <w:rsid w:val="00511FDC"/>
    <w:rsid w:val="00512FDA"/>
    <w:rsid w:val="00520DA0"/>
    <w:rsid w:val="005269D7"/>
    <w:rsid w:val="00543137"/>
    <w:rsid w:val="00546874"/>
    <w:rsid w:val="005664BB"/>
    <w:rsid w:val="00566FFA"/>
    <w:rsid w:val="0057481D"/>
    <w:rsid w:val="00583B1F"/>
    <w:rsid w:val="0058486E"/>
    <w:rsid w:val="00585B33"/>
    <w:rsid w:val="0059014D"/>
    <w:rsid w:val="005A3F8F"/>
    <w:rsid w:val="005B5805"/>
    <w:rsid w:val="005B5C64"/>
    <w:rsid w:val="005C5337"/>
    <w:rsid w:val="005C6BD0"/>
    <w:rsid w:val="005D1C8B"/>
    <w:rsid w:val="005D468D"/>
    <w:rsid w:val="005D5CED"/>
    <w:rsid w:val="005F1A4C"/>
    <w:rsid w:val="006011FE"/>
    <w:rsid w:val="00605688"/>
    <w:rsid w:val="0060575A"/>
    <w:rsid w:val="00605C08"/>
    <w:rsid w:val="00605D8C"/>
    <w:rsid w:val="006070AF"/>
    <w:rsid w:val="00607E6C"/>
    <w:rsid w:val="006101B1"/>
    <w:rsid w:val="00614E44"/>
    <w:rsid w:val="00620654"/>
    <w:rsid w:val="0062270A"/>
    <w:rsid w:val="00622830"/>
    <w:rsid w:val="0062381F"/>
    <w:rsid w:val="00623DA0"/>
    <w:rsid w:val="00630AEF"/>
    <w:rsid w:val="006325F8"/>
    <w:rsid w:val="00633463"/>
    <w:rsid w:val="00634C9A"/>
    <w:rsid w:val="00642746"/>
    <w:rsid w:val="006440E4"/>
    <w:rsid w:val="00657DCC"/>
    <w:rsid w:val="0066071F"/>
    <w:rsid w:val="0066343B"/>
    <w:rsid w:val="00664777"/>
    <w:rsid w:val="006748A4"/>
    <w:rsid w:val="00681A31"/>
    <w:rsid w:val="00683E73"/>
    <w:rsid w:val="00687EE8"/>
    <w:rsid w:val="006945BF"/>
    <w:rsid w:val="006A3141"/>
    <w:rsid w:val="006A5E34"/>
    <w:rsid w:val="006B00EC"/>
    <w:rsid w:val="006B0C33"/>
    <w:rsid w:val="006B2422"/>
    <w:rsid w:val="006B2B9A"/>
    <w:rsid w:val="006B2F49"/>
    <w:rsid w:val="006C1937"/>
    <w:rsid w:val="006F020C"/>
    <w:rsid w:val="007127B7"/>
    <w:rsid w:val="0071798E"/>
    <w:rsid w:val="007317F9"/>
    <w:rsid w:val="00733592"/>
    <w:rsid w:val="0074046F"/>
    <w:rsid w:val="007404FA"/>
    <w:rsid w:val="007414E9"/>
    <w:rsid w:val="007416B6"/>
    <w:rsid w:val="00746F48"/>
    <w:rsid w:val="0075404D"/>
    <w:rsid w:val="00757A32"/>
    <w:rsid w:val="0076182A"/>
    <w:rsid w:val="00767B7E"/>
    <w:rsid w:val="00772F44"/>
    <w:rsid w:val="007770C3"/>
    <w:rsid w:val="00783620"/>
    <w:rsid w:val="007845CB"/>
    <w:rsid w:val="00784AC1"/>
    <w:rsid w:val="00784D24"/>
    <w:rsid w:val="00785FBA"/>
    <w:rsid w:val="00786E4A"/>
    <w:rsid w:val="007875EB"/>
    <w:rsid w:val="00790A67"/>
    <w:rsid w:val="0079426B"/>
    <w:rsid w:val="007D1682"/>
    <w:rsid w:val="007D312A"/>
    <w:rsid w:val="007D3F19"/>
    <w:rsid w:val="007E23B0"/>
    <w:rsid w:val="007E23E5"/>
    <w:rsid w:val="007E734F"/>
    <w:rsid w:val="007F1991"/>
    <w:rsid w:val="007F2C2F"/>
    <w:rsid w:val="007F55FC"/>
    <w:rsid w:val="007F5665"/>
    <w:rsid w:val="007F6183"/>
    <w:rsid w:val="00800112"/>
    <w:rsid w:val="00803202"/>
    <w:rsid w:val="00810A93"/>
    <w:rsid w:val="00813348"/>
    <w:rsid w:val="0081687A"/>
    <w:rsid w:val="008253BB"/>
    <w:rsid w:val="0083706E"/>
    <w:rsid w:val="008404E9"/>
    <w:rsid w:val="008408F6"/>
    <w:rsid w:val="008423A5"/>
    <w:rsid w:val="008427DA"/>
    <w:rsid w:val="00850625"/>
    <w:rsid w:val="00853718"/>
    <w:rsid w:val="00855221"/>
    <w:rsid w:val="00860645"/>
    <w:rsid w:val="00871F71"/>
    <w:rsid w:val="00872FD8"/>
    <w:rsid w:val="00885AF4"/>
    <w:rsid w:val="00885CFA"/>
    <w:rsid w:val="008939CD"/>
    <w:rsid w:val="008A137E"/>
    <w:rsid w:val="008B768C"/>
    <w:rsid w:val="008C3417"/>
    <w:rsid w:val="008C4DB1"/>
    <w:rsid w:val="008C4EAF"/>
    <w:rsid w:val="008C5176"/>
    <w:rsid w:val="008C7FD0"/>
    <w:rsid w:val="008E1DE7"/>
    <w:rsid w:val="008E707C"/>
    <w:rsid w:val="008F1C18"/>
    <w:rsid w:val="008F5A82"/>
    <w:rsid w:val="00900089"/>
    <w:rsid w:val="009004A8"/>
    <w:rsid w:val="00900B08"/>
    <w:rsid w:val="00900E1E"/>
    <w:rsid w:val="0090100E"/>
    <w:rsid w:val="00902155"/>
    <w:rsid w:val="00902FA3"/>
    <w:rsid w:val="00923564"/>
    <w:rsid w:val="0092392E"/>
    <w:rsid w:val="009315F9"/>
    <w:rsid w:val="00933499"/>
    <w:rsid w:val="009334D8"/>
    <w:rsid w:val="00935C98"/>
    <w:rsid w:val="00942C08"/>
    <w:rsid w:val="00946945"/>
    <w:rsid w:val="00951248"/>
    <w:rsid w:val="0095152F"/>
    <w:rsid w:val="00954C49"/>
    <w:rsid w:val="00955E37"/>
    <w:rsid w:val="009629F0"/>
    <w:rsid w:val="00964121"/>
    <w:rsid w:val="0097099F"/>
    <w:rsid w:val="00971997"/>
    <w:rsid w:val="00971FFC"/>
    <w:rsid w:val="00973758"/>
    <w:rsid w:val="00973770"/>
    <w:rsid w:val="0098660A"/>
    <w:rsid w:val="009879A9"/>
    <w:rsid w:val="00987DAF"/>
    <w:rsid w:val="009931C3"/>
    <w:rsid w:val="00995824"/>
    <w:rsid w:val="009B2C43"/>
    <w:rsid w:val="009B4EAE"/>
    <w:rsid w:val="009B7573"/>
    <w:rsid w:val="009C22F4"/>
    <w:rsid w:val="009C2A4B"/>
    <w:rsid w:val="009C2E98"/>
    <w:rsid w:val="009D3447"/>
    <w:rsid w:val="009D4711"/>
    <w:rsid w:val="009E56A0"/>
    <w:rsid w:val="009E5AF7"/>
    <w:rsid w:val="009F1185"/>
    <w:rsid w:val="009F18CD"/>
    <w:rsid w:val="009F2A13"/>
    <w:rsid w:val="009F4CDB"/>
    <w:rsid w:val="009F7527"/>
    <w:rsid w:val="00A04EB0"/>
    <w:rsid w:val="00A1317F"/>
    <w:rsid w:val="00A13CC1"/>
    <w:rsid w:val="00A16847"/>
    <w:rsid w:val="00A16BDB"/>
    <w:rsid w:val="00A237D8"/>
    <w:rsid w:val="00A23C7E"/>
    <w:rsid w:val="00A2598D"/>
    <w:rsid w:val="00A268C4"/>
    <w:rsid w:val="00A307CD"/>
    <w:rsid w:val="00A331C8"/>
    <w:rsid w:val="00A40A00"/>
    <w:rsid w:val="00A4142F"/>
    <w:rsid w:val="00A422EB"/>
    <w:rsid w:val="00A44168"/>
    <w:rsid w:val="00A45BB7"/>
    <w:rsid w:val="00A47204"/>
    <w:rsid w:val="00A56DF2"/>
    <w:rsid w:val="00A56E6E"/>
    <w:rsid w:val="00A67740"/>
    <w:rsid w:val="00A67AB5"/>
    <w:rsid w:val="00A733B2"/>
    <w:rsid w:val="00A741C2"/>
    <w:rsid w:val="00A863A4"/>
    <w:rsid w:val="00A91760"/>
    <w:rsid w:val="00A93B00"/>
    <w:rsid w:val="00A93C21"/>
    <w:rsid w:val="00AA4A4C"/>
    <w:rsid w:val="00AB2E0D"/>
    <w:rsid w:val="00AB5385"/>
    <w:rsid w:val="00AB64C9"/>
    <w:rsid w:val="00AB76E5"/>
    <w:rsid w:val="00AC15C6"/>
    <w:rsid w:val="00AC3C6A"/>
    <w:rsid w:val="00AD0690"/>
    <w:rsid w:val="00AD4156"/>
    <w:rsid w:val="00AD5620"/>
    <w:rsid w:val="00AD656B"/>
    <w:rsid w:val="00AD7C1B"/>
    <w:rsid w:val="00AE16BA"/>
    <w:rsid w:val="00AE1EBE"/>
    <w:rsid w:val="00AF6672"/>
    <w:rsid w:val="00AF71DC"/>
    <w:rsid w:val="00B0385B"/>
    <w:rsid w:val="00B03C9D"/>
    <w:rsid w:val="00B060AE"/>
    <w:rsid w:val="00B10517"/>
    <w:rsid w:val="00B14E76"/>
    <w:rsid w:val="00B150BC"/>
    <w:rsid w:val="00B161B8"/>
    <w:rsid w:val="00B2048C"/>
    <w:rsid w:val="00B252F8"/>
    <w:rsid w:val="00B3001A"/>
    <w:rsid w:val="00B310B9"/>
    <w:rsid w:val="00B35280"/>
    <w:rsid w:val="00B35D41"/>
    <w:rsid w:val="00B35F3F"/>
    <w:rsid w:val="00B36CBB"/>
    <w:rsid w:val="00B425E0"/>
    <w:rsid w:val="00B440AA"/>
    <w:rsid w:val="00B44B70"/>
    <w:rsid w:val="00B508B1"/>
    <w:rsid w:val="00B52626"/>
    <w:rsid w:val="00B53C56"/>
    <w:rsid w:val="00B54234"/>
    <w:rsid w:val="00B57D9B"/>
    <w:rsid w:val="00B57DAF"/>
    <w:rsid w:val="00B77EA6"/>
    <w:rsid w:val="00B81598"/>
    <w:rsid w:val="00B841F1"/>
    <w:rsid w:val="00B8599B"/>
    <w:rsid w:val="00B90E4E"/>
    <w:rsid w:val="00B944D6"/>
    <w:rsid w:val="00B965DC"/>
    <w:rsid w:val="00BA21E0"/>
    <w:rsid w:val="00BB4DF0"/>
    <w:rsid w:val="00BC289F"/>
    <w:rsid w:val="00BC2D50"/>
    <w:rsid w:val="00BC5361"/>
    <w:rsid w:val="00BC5460"/>
    <w:rsid w:val="00BC6B50"/>
    <w:rsid w:val="00BD0412"/>
    <w:rsid w:val="00BD0E25"/>
    <w:rsid w:val="00BF109D"/>
    <w:rsid w:val="00BF5BD6"/>
    <w:rsid w:val="00C01703"/>
    <w:rsid w:val="00C03E31"/>
    <w:rsid w:val="00C11C3C"/>
    <w:rsid w:val="00C15303"/>
    <w:rsid w:val="00C231EF"/>
    <w:rsid w:val="00C33E72"/>
    <w:rsid w:val="00C3518E"/>
    <w:rsid w:val="00C354B2"/>
    <w:rsid w:val="00C35554"/>
    <w:rsid w:val="00C4111B"/>
    <w:rsid w:val="00C42709"/>
    <w:rsid w:val="00C474C3"/>
    <w:rsid w:val="00C533CC"/>
    <w:rsid w:val="00C5751C"/>
    <w:rsid w:val="00C61BFC"/>
    <w:rsid w:val="00C61F85"/>
    <w:rsid w:val="00C62B85"/>
    <w:rsid w:val="00C65438"/>
    <w:rsid w:val="00C82E26"/>
    <w:rsid w:val="00C87FD8"/>
    <w:rsid w:val="00C91381"/>
    <w:rsid w:val="00C91CBB"/>
    <w:rsid w:val="00CB4E70"/>
    <w:rsid w:val="00CC09B6"/>
    <w:rsid w:val="00CC666F"/>
    <w:rsid w:val="00CD1E3F"/>
    <w:rsid w:val="00CE44F6"/>
    <w:rsid w:val="00CE49DA"/>
    <w:rsid w:val="00CE7B61"/>
    <w:rsid w:val="00D00095"/>
    <w:rsid w:val="00D1006A"/>
    <w:rsid w:val="00D114F0"/>
    <w:rsid w:val="00D146B7"/>
    <w:rsid w:val="00D20620"/>
    <w:rsid w:val="00D23918"/>
    <w:rsid w:val="00D254F7"/>
    <w:rsid w:val="00D26091"/>
    <w:rsid w:val="00D2685C"/>
    <w:rsid w:val="00D34E7C"/>
    <w:rsid w:val="00D35489"/>
    <w:rsid w:val="00D36AFE"/>
    <w:rsid w:val="00D47568"/>
    <w:rsid w:val="00D51276"/>
    <w:rsid w:val="00D53DCD"/>
    <w:rsid w:val="00D56F7C"/>
    <w:rsid w:val="00D649E6"/>
    <w:rsid w:val="00D7035F"/>
    <w:rsid w:val="00D73925"/>
    <w:rsid w:val="00D90931"/>
    <w:rsid w:val="00D90E40"/>
    <w:rsid w:val="00D912A2"/>
    <w:rsid w:val="00D936AE"/>
    <w:rsid w:val="00D9589D"/>
    <w:rsid w:val="00DA634F"/>
    <w:rsid w:val="00DA65AC"/>
    <w:rsid w:val="00DB0685"/>
    <w:rsid w:val="00DB1913"/>
    <w:rsid w:val="00DB3BAD"/>
    <w:rsid w:val="00DB6634"/>
    <w:rsid w:val="00DC12E3"/>
    <w:rsid w:val="00DC3675"/>
    <w:rsid w:val="00DC410D"/>
    <w:rsid w:val="00DC5A81"/>
    <w:rsid w:val="00DC68CA"/>
    <w:rsid w:val="00DC7CBA"/>
    <w:rsid w:val="00DD4D8C"/>
    <w:rsid w:val="00DD73B7"/>
    <w:rsid w:val="00DE3809"/>
    <w:rsid w:val="00DE56DE"/>
    <w:rsid w:val="00DF28BC"/>
    <w:rsid w:val="00DF34B9"/>
    <w:rsid w:val="00E01053"/>
    <w:rsid w:val="00E0719B"/>
    <w:rsid w:val="00E07ACF"/>
    <w:rsid w:val="00E30346"/>
    <w:rsid w:val="00E32CAD"/>
    <w:rsid w:val="00E331A1"/>
    <w:rsid w:val="00E33202"/>
    <w:rsid w:val="00E336A9"/>
    <w:rsid w:val="00E472B1"/>
    <w:rsid w:val="00E50624"/>
    <w:rsid w:val="00E568DF"/>
    <w:rsid w:val="00E64269"/>
    <w:rsid w:val="00E817B3"/>
    <w:rsid w:val="00E82267"/>
    <w:rsid w:val="00E853CE"/>
    <w:rsid w:val="00E867B6"/>
    <w:rsid w:val="00EA010F"/>
    <w:rsid w:val="00EB4CE1"/>
    <w:rsid w:val="00EC1690"/>
    <w:rsid w:val="00ED0220"/>
    <w:rsid w:val="00ED1B63"/>
    <w:rsid w:val="00ED3C1F"/>
    <w:rsid w:val="00ED4085"/>
    <w:rsid w:val="00ED420E"/>
    <w:rsid w:val="00ED6FBE"/>
    <w:rsid w:val="00EE136F"/>
    <w:rsid w:val="00EE2F57"/>
    <w:rsid w:val="00EF4C34"/>
    <w:rsid w:val="00EF60EF"/>
    <w:rsid w:val="00EF77C6"/>
    <w:rsid w:val="00F05438"/>
    <w:rsid w:val="00F067A4"/>
    <w:rsid w:val="00F117E8"/>
    <w:rsid w:val="00F1361C"/>
    <w:rsid w:val="00F156F0"/>
    <w:rsid w:val="00F160C7"/>
    <w:rsid w:val="00F165F6"/>
    <w:rsid w:val="00F2408F"/>
    <w:rsid w:val="00F240E9"/>
    <w:rsid w:val="00F27485"/>
    <w:rsid w:val="00F324B2"/>
    <w:rsid w:val="00F36D8F"/>
    <w:rsid w:val="00F417B1"/>
    <w:rsid w:val="00F45853"/>
    <w:rsid w:val="00F602DF"/>
    <w:rsid w:val="00F60C85"/>
    <w:rsid w:val="00F64BDC"/>
    <w:rsid w:val="00F73F57"/>
    <w:rsid w:val="00F754A1"/>
    <w:rsid w:val="00F81FD9"/>
    <w:rsid w:val="00F841AA"/>
    <w:rsid w:val="00F84A94"/>
    <w:rsid w:val="00F864E1"/>
    <w:rsid w:val="00F87E96"/>
    <w:rsid w:val="00FA23E8"/>
    <w:rsid w:val="00FA33F0"/>
    <w:rsid w:val="00FA57FF"/>
    <w:rsid w:val="00FD3B54"/>
    <w:rsid w:val="00FD3CC1"/>
    <w:rsid w:val="00FD653C"/>
    <w:rsid w:val="00FE4984"/>
    <w:rsid w:val="00FF1E02"/>
    <w:rsid w:val="00FF30B4"/>
    <w:rsid w:val="01036027"/>
    <w:rsid w:val="01705EB7"/>
    <w:rsid w:val="01736EDB"/>
    <w:rsid w:val="01FB43B0"/>
    <w:rsid w:val="0200343A"/>
    <w:rsid w:val="03397A22"/>
    <w:rsid w:val="04414775"/>
    <w:rsid w:val="05550CB2"/>
    <w:rsid w:val="06510213"/>
    <w:rsid w:val="06714C52"/>
    <w:rsid w:val="073D5938"/>
    <w:rsid w:val="075044B7"/>
    <w:rsid w:val="078922D8"/>
    <w:rsid w:val="07904D18"/>
    <w:rsid w:val="08793EF8"/>
    <w:rsid w:val="09D50238"/>
    <w:rsid w:val="0A092397"/>
    <w:rsid w:val="0A2032A3"/>
    <w:rsid w:val="0AB51C87"/>
    <w:rsid w:val="0B25405D"/>
    <w:rsid w:val="0B4C47DD"/>
    <w:rsid w:val="0BB37961"/>
    <w:rsid w:val="0C2420E2"/>
    <w:rsid w:val="0C5E6AE5"/>
    <w:rsid w:val="0CBA523E"/>
    <w:rsid w:val="0CC774D2"/>
    <w:rsid w:val="0CE06E64"/>
    <w:rsid w:val="0E7C3DBB"/>
    <w:rsid w:val="10210EAB"/>
    <w:rsid w:val="10C055FF"/>
    <w:rsid w:val="118107EC"/>
    <w:rsid w:val="124209FA"/>
    <w:rsid w:val="137E0671"/>
    <w:rsid w:val="13985C26"/>
    <w:rsid w:val="13CC2A68"/>
    <w:rsid w:val="13D50C28"/>
    <w:rsid w:val="14083176"/>
    <w:rsid w:val="142D1EAD"/>
    <w:rsid w:val="15344F63"/>
    <w:rsid w:val="155E0F44"/>
    <w:rsid w:val="16B538DE"/>
    <w:rsid w:val="16BB723D"/>
    <w:rsid w:val="17041C80"/>
    <w:rsid w:val="175717F4"/>
    <w:rsid w:val="17623A39"/>
    <w:rsid w:val="17830BC1"/>
    <w:rsid w:val="17E22F27"/>
    <w:rsid w:val="18BA181B"/>
    <w:rsid w:val="18DA15D9"/>
    <w:rsid w:val="19FE35D4"/>
    <w:rsid w:val="1AA9659B"/>
    <w:rsid w:val="1B2E4E64"/>
    <w:rsid w:val="1B986B82"/>
    <w:rsid w:val="1BB16D04"/>
    <w:rsid w:val="1BEC2BB7"/>
    <w:rsid w:val="1C031EA0"/>
    <w:rsid w:val="1C0D0456"/>
    <w:rsid w:val="1C664119"/>
    <w:rsid w:val="1C7E31C3"/>
    <w:rsid w:val="1CA62F3C"/>
    <w:rsid w:val="1CC9445A"/>
    <w:rsid w:val="1D155CEE"/>
    <w:rsid w:val="1D4A1B27"/>
    <w:rsid w:val="1DE055FE"/>
    <w:rsid w:val="1EEA12FF"/>
    <w:rsid w:val="1EEF472F"/>
    <w:rsid w:val="1F3107D0"/>
    <w:rsid w:val="1FE62212"/>
    <w:rsid w:val="1FFA7A87"/>
    <w:rsid w:val="204665E6"/>
    <w:rsid w:val="206B243E"/>
    <w:rsid w:val="20EF7DD1"/>
    <w:rsid w:val="23B83B9D"/>
    <w:rsid w:val="23D750F8"/>
    <w:rsid w:val="24022558"/>
    <w:rsid w:val="240371BF"/>
    <w:rsid w:val="244149FE"/>
    <w:rsid w:val="244309D7"/>
    <w:rsid w:val="24815B52"/>
    <w:rsid w:val="25731A26"/>
    <w:rsid w:val="25F509E0"/>
    <w:rsid w:val="2608726C"/>
    <w:rsid w:val="26A9012E"/>
    <w:rsid w:val="26D106E1"/>
    <w:rsid w:val="27693709"/>
    <w:rsid w:val="27D51DC7"/>
    <w:rsid w:val="27F879BA"/>
    <w:rsid w:val="28205AE1"/>
    <w:rsid w:val="282C0C58"/>
    <w:rsid w:val="295D25D5"/>
    <w:rsid w:val="29FD04D3"/>
    <w:rsid w:val="2AB13917"/>
    <w:rsid w:val="2AFB2646"/>
    <w:rsid w:val="2BA41C5A"/>
    <w:rsid w:val="2BC96930"/>
    <w:rsid w:val="2BD970D6"/>
    <w:rsid w:val="2BEE2115"/>
    <w:rsid w:val="2BF70BC5"/>
    <w:rsid w:val="2C3E530C"/>
    <w:rsid w:val="2C4675F6"/>
    <w:rsid w:val="2C944309"/>
    <w:rsid w:val="2CA04EDD"/>
    <w:rsid w:val="2DE42F13"/>
    <w:rsid w:val="2E6F6FB9"/>
    <w:rsid w:val="2EC83AEF"/>
    <w:rsid w:val="2F8639F7"/>
    <w:rsid w:val="2FEE7358"/>
    <w:rsid w:val="2FFB2F6B"/>
    <w:rsid w:val="30A23D2A"/>
    <w:rsid w:val="31525695"/>
    <w:rsid w:val="319F7F4E"/>
    <w:rsid w:val="31BC6FA2"/>
    <w:rsid w:val="320C1E8A"/>
    <w:rsid w:val="32817FAD"/>
    <w:rsid w:val="33BC5B28"/>
    <w:rsid w:val="34D211B7"/>
    <w:rsid w:val="383B7B16"/>
    <w:rsid w:val="3877333B"/>
    <w:rsid w:val="38883C0B"/>
    <w:rsid w:val="38B42AE7"/>
    <w:rsid w:val="39613470"/>
    <w:rsid w:val="3AFF3288"/>
    <w:rsid w:val="3B2358E7"/>
    <w:rsid w:val="3B6E5BCA"/>
    <w:rsid w:val="3C205AEC"/>
    <w:rsid w:val="3C266EA1"/>
    <w:rsid w:val="3C7C3F22"/>
    <w:rsid w:val="3CBB3914"/>
    <w:rsid w:val="3CDB303A"/>
    <w:rsid w:val="3D0E0B83"/>
    <w:rsid w:val="3D23119D"/>
    <w:rsid w:val="3D3F2F25"/>
    <w:rsid w:val="3D7E32C2"/>
    <w:rsid w:val="3DDF1A37"/>
    <w:rsid w:val="3E1F592E"/>
    <w:rsid w:val="3E5D0521"/>
    <w:rsid w:val="404264E3"/>
    <w:rsid w:val="40F214F7"/>
    <w:rsid w:val="412D3891"/>
    <w:rsid w:val="41326B37"/>
    <w:rsid w:val="42122766"/>
    <w:rsid w:val="421711C4"/>
    <w:rsid w:val="42185403"/>
    <w:rsid w:val="42776FB0"/>
    <w:rsid w:val="42D068DB"/>
    <w:rsid w:val="42F8400E"/>
    <w:rsid w:val="434226BE"/>
    <w:rsid w:val="4456444A"/>
    <w:rsid w:val="449946D6"/>
    <w:rsid w:val="44CB16D6"/>
    <w:rsid w:val="460231DA"/>
    <w:rsid w:val="46783949"/>
    <w:rsid w:val="46D95D32"/>
    <w:rsid w:val="47B83788"/>
    <w:rsid w:val="47EF7803"/>
    <w:rsid w:val="4829707E"/>
    <w:rsid w:val="48673717"/>
    <w:rsid w:val="491500ED"/>
    <w:rsid w:val="4A90695B"/>
    <w:rsid w:val="4AA95D7B"/>
    <w:rsid w:val="4B1228B0"/>
    <w:rsid w:val="4B84469B"/>
    <w:rsid w:val="4C6A72AB"/>
    <w:rsid w:val="4C7022D5"/>
    <w:rsid w:val="4D083C1B"/>
    <w:rsid w:val="4D105445"/>
    <w:rsid w:val="4D612FCD"/>
    <w:rsid w:val="4DBC4817"/>
    <w:rsid w:val="4DC0760C"/>
    <w:rsid w:val="4DF30EDE"/>
    <w:rsid w:val="4E756EEA"/>
    <w:rsid w:val="4E797ACB"/>
    <w:rsid w:val="4EA14A3A"/>
    <w:rsid w:val="4ECE2238"/>
    <w:rsid w:val="4F0B7011"/>
    <w:rsid w:val="4F533D38"/>
    <w:rsid w:val="50535FE7"/>
    <w:rsid w:val="514D685E"/>
    <w:rsid w:val="5150201B"/>
    <w:rsid w:val="51FB58EC"/>
    <w:rsid w:val="52652B57"/>
    <w:rsid w:val="529E3874"/>
    <w:rsid w:val="5396216C"/>
    <w:rsid w:val="56A97C93"/>
    <w:rsid w:val="56B63588"/>
    <w:rsid w:val="57264649"/>
    <w:rsid w:val="57394790"/>
    <w:rsid w:val="578F6770"/>
    <w:rsid w:val="57DE22E6"/>
    <w:rsid w:val="5847226B"/>
    <w:rsid w:val="58A671D0"/>
    <w:rsid w:val="58DD5A04"/>
    <w:rsid w:val="59A745E9"/>
    <w:rsid w:val="59DF4079"/>
    <w:rsid w:val="59FF310B"/>
    <w:rsid w:val="5ABE4AFE"/>
    <w:rsid w:val="5B7339AB"/>
    <w:rsid w:val="5CA5204D"/>
    <w:rsid w:val="5CBA0CD6"/>
    <w:rsid w:val="5D097FF4"/>
    <w:rsid w:val="5D526412"/>
    <w:rsid w:val="5D826212"/>
    <w:rsid w:val="5DAA7FFC"/>
    <w:rsid w:val="5F5A4290"/>
    <w:rsid w:val="5F5F71BB"/>
    <w:rsid w:val="5FB62B99"/>
    <w:rsid w:val="602A30E4"/>
    <w:rsid w:val="61C35FAD"/>
    <w:rsid w:val="62E95123"/>
    <w:rsid w:val="63544C3D"/>
    <w:rsid w:val="636061F9"/>
    <w:rsid w:val="63C71A1B"/>
    <w:rsid w:val="6407630E"/>
    <w:rsid w:val="641F55BA"/>
    <w:rsid w:val="64325246"/>
    <w:rsid w:val="64724339"/>
    <w:rsid w:val="64BD06A8"/>
    <w:rsid w:val="64DA343A"/>
    <w:rsid w:val="65592102"/>
    <w:rsid w:val="658E0B02"/>
    <w:rsid w:val="666960FB"/>
    <w:rsid w:val="66810B54"/>
    <w:rsid w:val="66915730"/>
    <w:rsid w:val="67123602"/>
    <w:rsid w:val="677B0451"/>
    <w:rsid w:val="679E4383"/>
    <w:rsid w:val="67A72E94"/>
    <w:rsid w:val="67CC1879"/>
    <w:rsid w:val="683825D2"/>
    <w:rsid w:val="68584C0D"/>
    <w:rsid w:val="68F54396"/>
    <w:rsid w:val="69537D75"/>
    <w:rsid w:val="6A5F55F3"/>
    <w:rsid w:val="6B6C164A"/>
    <w:rsid w:val="6B9F5694"/>
    <w:rsid w:val="6C4A05C8"/>
    <w:rsid w:val="6CB02CC0"/>
    <w:rsid w:val="6D4543E4"/>
    <w:rsid w:val="6D4B4482"/>
    <w:rsid w:val="6DF332FA"/>
    <w:rsid w:val="6DF966CA"/>
    <w:rsid w:val="6F1031C9"/>
    <w:rsid w:val="6F234BC6"/>
    <w:rsid w:val="71DD4097"/>
    <w:rsid w:val="71E00A87"/>
    <w:rsid w:val="71E745D1"/>
    <w:rsid w:val="72734D90"/>
    <w:rsid w:val="72DA43BC"/>
    <w:rsid w:val="73CC4FCC"/>
    <w:rsid w:val="73F214FB"/>
    <w:rsid w:val="744F587D"/>
    <w:rsid w:val="75B27954"/>
    <w:rsid w:val="761A501A"/>
    <w:rsid w:val="766352ED"/>
    <w:rsid w:val="76AF349A"/>
    <w:rsid w:val="77B53029"/>
    <w:rsid w:val="7820633E"/>
    <w:rsid w:val="78A103A0"/>
    <w:rsid w:val="794B10AE"/>
    <w:rsid w:val="796E1FE9"/>
    <w:rsid w:val="797D5F7E"/>
    <w:rsid w:val="7A840E1F"/>
    <w:rsid w:val="7C1E288A"/>
    <w:rsid w:val="7C5908B2"/>
    <w:rsid w:val="7CCF6427"/>
    <w:rsid w:val="7D0657D2"/>
    <w:rsid w:val="7D403A84"/>
    <w:rsid w:val="7D4C4090"/>
    <w:rsid w:val="7E8D4135"/>
    <w:rsid w:val="7EA27B10"/>
    <w:rsid w:val="7F3A0DF9"/>
    <w:rsid w:val="7F751FBD"/>
    <w:rsid w:val="7FD90607"/>
    <w:rsid w:val="7FF155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35"/>
    <w:qFormat/>
    <w:uiPriority w:val="9"/>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link w:val="33"/>
    <w:qFormat/>
    <w:uiPriority w:val="9"/>
    <w:pPr>
      <w:keepNext/>
      <w:keepLines/>
      <w:spacing w:before="260" w:after="260" w:line="416" w:lineRule="auto"/>
      <w:outlineLvl w:val="2"/>
    </w:pPr>
    <w:rPr>
      <w:rFonts w:eastAsia="宋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4"/>
    <w:qFormat/>
    <w:uiPriority w:val="0"/>
    <w:pPr>
      <w:spacing w:beforeLines="30"/>
    </w:pPr>
    <w:rPr>
      <w:rFonts w:eastAsia="宋体"/>
      <w:kern w:val="0"/>
      <w:sz w:val="24"/>
    </w:rPr>
  </w:style>
  <w:style w:type="paragraph" w:styleId="6">
    <w:name w:val="Body Text Indent"/>
    <w:basedOn w:val="1"/>
    <w:link w:val="51"/>
    <w:semiHidden/>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31"/>
    <w:qFormat/>
    <w:uiPriority w:val="0"/>
    <w:rPr>
      <w:rFonts w:ascii="宋体" w:hAnsi="Courier New" w:eastAsia="宋体"/>
    </w:rPr>
  </w:style>
  <w:style w:type="paragraph" w:styleId="9">
    <w:name w:val="Date"/>
    <w:basedOn w:val="1"/>
    <w:next w:val="1"/>
    <w:link w:val="27"/>
    <w:unhideWhenUsed/>
    <w:qFormat/>
    <w:uiPriority w:val="99"/>
    <w:pPr>
      <w:ind w:left="100" w:leftChars="2500"/>
    </w:pPr>
    <w:rPr>
      <w:sz w:val="32"/>
    </w:rPr>
  </w:style>
  <w:style w:type="paragraph" w:styleId="10">
    <w:name w:val="Balloon Text"/>
    <w:basedOn w:val="1"/>
    <w:link w:val="28"/>
    <w:unhideWhenUsed/>
    <w:qFormat/>
    <w:uiPriority w:val="99"/>
    <w:rPr>
      <w:rFonts w:eastAsia="宋体"/>
      <w:sz w:val="18"/>
      <w:szCs w:val="18"/>
    </w:rPr>
  </w:style>
  <w:style w:type="paragraph" w:styleId="11">
    <w:name w:val="footer"/>
    <w:basedOn w:val="1"/>
    <w:link w:val="36"/>
    <w:qFormat/>
    <w:uiPriority w:val="99"/>
    <w:pPr>
      <w:tabs>
        <w:tab w:val="center" w:pos="4153"/>
        <w:tab w:val="right" w:pos="8306"/>
      </w:tabs>
      <w:snapToGrid w:val="0"/>
      <w:jc w:val="left"/>
    </w:pPr>
    <w:rPr>
      <w:rFonts w:eastAsia="宋体"/>
      <w:kern w:val="0"/>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rPr>
      <w:sz w:val="24"/>
    </w:rPr>
  </w:style>
  <w:style w:type="paragraph" w:styleId="16">
    <w:name w:val="Body Text First Indent 2"/>
    <w:basedOn w:val="6"/>
    <w:link w:val="52"/>
    <w:semiHidden/>
    <w:unhideWhenUsed/>
    <w:qFormat/>
    <w:uiPriority w:val="99"/>
    <w:pPr>
      <w:ind w:firstLine="420" w:firstLineChars="200"/>
    </w:pPr>
  </w:style>
  <w:style w:type="table" w:styleId="18">
    <w:name w:val="Table Grid"/>
    <w:basedOn w:val="1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99"/>
    <w:rPr>
      <w:rFonts w:cs="Times New Roman"/>
      <w:b/>
    </w:rPr>
  </w:style>
  <w:style w:type="character" w:styleId="21">
    <w:name w:val="Hyperlink"/>
    <w:unhideWhenUsed/>
    <w:qFormat/>
    <w:uiPriority w:val="99"/>
    <w:rPr>
      <w:rFonts w:cs="Times New Roman"/>
      <w:color w:val="0000FF"/>
      <w:u w:val="single"/>
    </w:rPr>
  </w:style>
  <w:style w:type="character" w:customStyle="1" w:styleId="22">
    <w:name w:val="font51"/>
    <w:basedOn w:val="19"/>
    <w:qFormat/>
    <w:uiPriority w:val="0"/>
    <w:rPr>
      <w:rFonts w:hint="eastAsia" w:ascii="宋体" w:hAnsi="宋体" w:eastAsia="宋体" w:cs="宋体"/>
      <w:color w:val="000000"/>
      <w:sz w:val="20"/>
      <w:szCs w:val="20"/>
      <w:u w:val="none"/>
    </w:rPr>
  </w:style>
  <w:style w:type="character" w:customStyle="1" w:styleId="23">
    <w:name w:val="四号正文 Char Char"/>
    <w:link w:val="24"/>
    <w:qFormat/>
    <w:uiPriority w:val="0"/>
    <w:rPr>
      <w:rFonts w:ascii="??" w:hAnsi="??" w:cs="宋体"/>
      <w:color w:val="000000"/>
      <w:sz w:val="28"/>
      <w:szCs w:val="21"/>
    </w:rPr>
  </w:style>
  <w:style w:type="paragraph" w:customStyle="1" w:styleId="24">
    <w:name w:val="四号正文"/>
    <w:basedOn w:val="1"/>
    <w:link w:val="23"/>
    <w:qFormat/>
    <w:uiPriority w:val="0"/>
    <w:pPr>
      <w:spacing w:line="360" w:lineRule="auto"/>
    </w:pPr>
    <w:rPr>
      <w:rFonts w:ascii="??" w:hAnsi="??" w:eastAsia="宋体"/>
      <w:color w:val="000000"/>
      <w:kern w:val="0"/>
      <w:sz w:val="28"/>
      <w:szCs w:val="21"/>
    </w:rPr>
  </w:style>
  <w:style w:type="character" w:customStyle="1" w:styleId="25">
    <w:name w:val="页眉 字符"/>
    <w:semiHidden/>
    <w:qFormat/>
    <w:locked/>
    <w:uiPriority w:val="99"/>
    <w:rPr>
      <w:sz w:val="18"/>
    </w:rPr>
  </w:style>
  <w:style w:type="character" w:customStyle="1" w:styleId="26">
    <w:name w:val="标题 1 Char"/>
    <w:link w:val="2"/>
    <w:qFormat/>
    <w:locked/>
    <w:uiPriority w:val="9"/>
    <w:rPr>
      <w:rFonts w:ascii="Times New Roman" w:hAnsi="Times New Roman" w:cs="Times New Roman"/>
      <w:b/>
      <w:bCs/>
      <w:kern w:val="44"/>
      <w:sz w:val="44"/>
      <w:szCs w:val="44"/>
    </w:rPr>
  </w:style>
  <w:style w:type="character" w:customStyle="1" w:styleId="27">
    <w:name w:val="日期 Char"/>
    <w:basedOn w:val="19"/>
    <w:link w:val="9"/>
    <w:semiHidden/>
    <w:qFormat/>
    <w:uiPriority w:val="99"/>
    <w:rPr>
      <w:rFonts w:eastAsia="仿宋_GB2312"/>
      <w:kern w:val="2"/>
      <w:sz w:val="32"/>
      <w:szCs w:val="24"/>
    </w:rPr>
  </w:style>
  <w:style w:type="character" w:customStyle="1" w:styleId="28">
    <w:name w:val="批注框文本 Char"/>
    <w:link w:val="10"/>
    <w:semiHidden/>
    <w:qFormat/>
    <w:locked/>
    <w:uiPriority w:val="99"/>
    <w:rPr>
      <w:rFonts w:ascii="Times New Roman" w:hAnsi="Times New Roman" w:cs="Times New Roman"/>
      <w:kern w:val="2"/>
      <w:sz w:val="18"/>
      <w:szCs w:val="18"/>
    </w:rPr>
  </w:style>
  <w:style w:type="character" w:customStyle="1" w:styleId="29">
    <w:name w:val="页眉 Char"/>
    <w:link w:val="12"/>
    <w:qFormat/>
    <w:uiPriority w:val="99"/>
    <w:rPr>
      <w:rFonts w:ascii="Times New Roman" w:hAnsi="Times New Roman" w:cs="Times New Roman"/>
      <w:sz w:val="18"/>
      <w:szCs w:val="18"/>
    </w:rPr>
  </w:style>
  <w:style w:type="character" w:customStyle="1" w:styleId="30">
    <w:name w:val="页脚 字符"/>
    <w:qFormat/>
    <w:locked/>
    <w:uiPriority w:val="99"/>
    <w:rPr>
      <w:sz w:val="18"/>
    </w:rPr>
  </w:style>
  <w:style w:type="character" w:customStyle="1" w:styleId="31">
    <w:name w:val="纯文本 Char"/>
    <w:basedOn w:val="19"/>
    <w:link w:val="8"/>
    <w:qFormat/>
    <w:uiPriority w:val="0"/>
    <w:rPr>
      <w:rFonts w:ascii="宋体" w:hAnsi="Courier New"/>
      <w:kern w:val="2"/>
      <w:sz w:val="21"/>
      <w:szCs w:val="24"/>
    </w:rPr>
  </w:style>
  <w:style w:type="character" w:customStyle="1" w:styleId="32">
    <w:name w:val="正文文本 字符"/>
    <w:qFormat/>
    <w:locked/>
    <w:uiPriority w:val="99"/>
    <w:rPr>
      <w:rFonts w:ascii="仿宋_GB2312" w:hAnsi="Times New Roman" w:eastAsia="仿宋_GB2312"/>
      <w:sz w:val="24"/>
    </w:rPr>
  </w:style>
  <w:style w:type="character" w:customStyle="1" w:styleId="33">
    <w:name w:val="标题 3 Char"/>
    <w:link w:val="4"/>
    <w:qFormat/>
    <w:locked/>
    <w:uiPriority w:val="9"/>
    <w:rPr>
      <w:rFonts w:ascii="Times New Roman" w:hAnsi="Times New Roman" w:cs="Times New Roman"/>
      <w:b/>
      <w:bCs/>
      <w:kern w:val="2"/>
      <w:sz w:val="32"/>
      <w:szCs w:val="32"/>
    </w:rPr>
  </w:style>
  <w:style w:type="character" w:customStyle="1" w:styleId="34">
    <w:name w:val="正文文本 Char"/>
    <w:link w:val="5"/>
    <w:semiHidden/>
    <w:qFormat/>
    <w:uiPriority w:val="99"/>
    <w:rPr>
      <w:rFonts w:ascii="Times New Roman" w:hAnsi="Times New Roman" w:cs="Times New Roman"/>
      <w:sz w:val="24"/>
      <w:szCs w:val="24"/>
    </w:rPr>
  </w:style>
  <w:style w:type="character" w:customStyle="1" w:styleId="35">
    <w:name w:val="标题 2 Char"/>
    <w:link w:val="3"/>
    <w:qFormat/>
    <w:locked/>
    <w:uiPriority w:val="9"/>
    <w:rPr>
      <w:rFonts w:ascii="Cambria" w:hAnsi="Cambria" w:eastAsia="宋体" w:cs="Times New Roman"/>
      <w:b/>
      <w:bCs/>
      <w:kern w:val="2"/>
      <w:sz w:val="32"/>
      <w:szCs w:val="32"/>
    </w:rPr>
  </w:style>
  <w:style w:type="character" w:customStyle="1" w:styleId="36">
    <w:name w:val="页脚 Char"/>
    <w:link w:val="11"/>
    <w:qFormat/>
    <w:uiPriority w:val="99"/>
    <w:rPr>
      <w:rFonts w:ascii="Times New Roman" w:hAnsi="Times New Roman" w:cs="Times New Roman"/>
      <w:sz w:val="18"/>
      <w:szCs w:val="18"/>
    </w:rPr>
  </w:style>
  <w:style w:type="paragraph" w:customStyle="1" w:styleId="37">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8">
    <w:name w:val="List Paragraph1"/>
    <w:basedOn w:val="1"/>
    <w:qFormat/>
    <w:uiPriority w:val="34"/>
    <w:pPr>
      <w:ind w:firstLine="420" w:firstLineChars="200"/>
    </w:p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p0"/>
    <w:basedOn w:val="1"/>
    <w:qFormat/>
    <w:uiPriority w:val="0"/>
    <w:pPr>
      <w:widowControl/>
    </w:pPr>
    <w:rPr>
      <w:rFonts w:eastAsia="宋体"/>
      <w:kern w:val="0"/>
      <w:szCs w:val="21"/>
    </w:rPr>
  </w:style>
  <w:style w:type="paragraph" w:styleId="41">
    <w:name w:val="List Paragraph"/>
    <w:basedOn w:val="1"/>
    <w:qFormat/>
    <w:uiPriority w:val="34"/>
    <w:pPr>
      <w:ind w:firstLine="420" w:firstLineChars="200"/>
    </w:pPr>
    <w:rPr>
      <w:sz w:val="32"/>
    </w:rPr>
  </w:style>
  <w:style w:type="paragraph" w:customStyle="1" w:styleId="42">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4">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Char1"/>
    <w:basedOn w:val="1"/>
    <w:qFormat/>
    <w:uiPriority w:val="0"/>
    <w:rPr>
      <w:b/>
      <w:sz w:val="28"/>
      <w:szCs w:val="28"/>
    </w:rPr>
  </w:style>
  <w:style w:type="paragraph" w:customStyle="1" w:styleId="46">
    <w:name w:val="Char"/>
    <w:basedOn w:val="1"/>
    <w:qFormat/>
    <w:uiPriority w:val="0"/>
    <w:rPr>
      <w:rFonts w:ascii="Calibri" w:hAnsi="Calibri" w:eastAsia="宋体"/>
    </w:rPr>
  </w:style>
  <w:style w:type="character" w:customStyle="1" w:styleId="47">
    <w:name w:val="font11"/>
    <w:basedOn w:val="19"/>
    <w:qFormat/>
    <w:uiPriority w:val="0"/>
    <w:rPr>
      <w:rFonts w:hint="default" w:ascii="Times New Roman" w:hAnsi="Times New Roman" w:cs="Times New Roman"/>
      <w:color w:val="000000"/>
      <w:sz w:val="24"/>
      <w:szCs w:val="24"/>
      <w:u w:val="none"/>
    </w:rPr>
  </w:style>
  <w:style w:type="character" w:customStyle="1" w:styleId="48">
    <w:name w:val="font41"/>
    <w:basedOn w:val="19"/>
    <w:qFormat/>
    <w:uiPriority w:val="0"/>
    <w:rPr>
      <w:rFonts w:hint="eastAsia" w:ascii="宋体" w:hAnsi="宋体" w:eastAsia="宋体" w:cs="宋体"/>
      <w:color w:val="000000"/>
      <w:sz w:val="24"/>
      <w:szCs w:val="24"/>
      <w:u w:val="none"/>
    </w:rPr>
  </w:style>
  <w:style w:type="paragraph" w:customStyle="1" w:styleId="49">
    <w:name w:val="修订1"/>
    <w:hidden/>
    <w:semiHidden/>
    <w:qFormat/>
    <w:uiPriority w:val="99"/>
    <w:rPr>
      <w:rFonts w:ascii="Times New Roman" w:hAnsi="Times New Roman" w:eastAsia="仿宋_GB2312" w:cs="Times New Roman"/>
      <w:kern w:val="2"/>
      <w:sz w:val="21"/>
      <w:szCs w:val="24"/>
      <w:lang w:val="en-US" w:eastAsia="zh-CN" w:bidi="ar-SA"/>
    </w:rPr>
  </w:style>
  <w:style w:type="paragraph" w:customStyle="1" w:styleId="50">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51">
    <w:name w:val="正文文本缩进 Char"/>
    <w:basedOn w:val="19"/>
    <w:link w:val="6"/>
    <w:semiHidden/>
    <w:qFormat/>
    <w:uiPriority w:val="99"/>
    <w:rPr>
      <w:rFonts w:ascii="Times New Roman" w:hAnsi="Times New Roman" w:eastAsia="仿宋_GB2312"/>
      <w:kern w:val="2"/>
      <w:sz w:val="21"/>
      <w:szCs w:val="24"/>
    </w:rPr>
  </w:style>
  <w:style w:type="character" w:customStyle="1" w:styleId="52">
    <w:name w:val="正文首行缩进 2 Char"/>
    <w:basedOn w:val="51"/>
    <w:link w:val="1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J:\2024&#24180;&#24037;&#20316;&#36164;&#26009;\2023&#24180;&#24230;&#20915;&#31639;&#20844;&#24320;\&#37329;\&#20915;&#31639;&#20844;&#24320;&#39292;&#29366;&#22270;&#21046;&#20316;-&#37329;&#27743;&#20013;&#23567;&#23398;.xls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oleObject" Target="file:///J:\2024&#24180;&#24037;&#20316;&#36164;&#26009;\2023&#24180;&#24230;&#20915;&#31639;&#20844;&#24320;\&#37329;\&#20915;&#31639;&#20844;&#24320;&#39292;&#29366;&#22270;&#21046;&#20316;-&#37329;&#27743;&#20013;&#23567;&#2339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J:\2024&#24180;&#24037;&#20316;&#36164;&#26009;\2023&#24180;&#24230;&#20915;&#31639;&#20844;&#24320;\&#37329;\&#20915;&#31639;&#20844;&#24320;&#39292;&#29366;&#22270;&#21046;&#20316;-&#37329;&#27743;&#20013;&#23567;&#2339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2024&#24180;&#24037;&#20316;&#36164;&#26009;\2023&#24180;&#24230;&#20915;&#31639;&#20844;&#24320;\&#37329;\&#20915;&#31639;&#20844;&#24320;&#39292;&#29366;&#22270;&#21046;&#20316;-&#37329;&#27743;&#20013;&#23567;&#2339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J:\2024&#24180;&#24037;&#20316;&#36164;&#26009;\2023&#24180;&#24230;&#20915;&#31639;&#20844;&#24320;\&#37329;\&#20915;&#31639;&#20844;&#24320;&#39292;&#29366;&#22270;&#21046;&#20316;-&#37329;&#27743;&#20013;&#23567;&#2339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a:defRPr lang="zh-CN" sz="1400" b="0" i="0" u="none" strike="noStrike" kern="1200" baseline="0">
                <a:solidFill>
                  <a:srgbClr val="000000"/>
                </a:solidFill>
                <a:latin typeface="宋体" charset="-122"/>
                <a:ea typeface="宋体" charset="-122"/>
                <a:cs typeface="+mn-cs"/>
              </a:defRPr>
            </a:pPr>
            <a:r>
              <a:rPr lang="ko-KR" altLang="en-US" sz="1400" b="0" i="0" u="none" baseline="0">
                <a:solidFill>
                  <a:srgbClr val="595959"/>
                </a:solidFill>
                <a:latin typeface="宋体" charset="-122"/>
                <a:ea typeface="宋体" charset="-122"/>
              </a:rPr>
              <a:t>收支总决算</a:t>
            </a:r>
            <a:endParaRPr lang="ko-KR" altLang="en-US" sz="1400" b="0" i="0" u="none" baseline="0">
              <a:solidFill>
                <a:srgbClr val="595959"/>
              </a:solidFill>
              <a:latin typeface="宋体" charset="-122"/>
              <a:ea typeface="宋体" charset="-122"/>
            </a:endParaRPr>
          </a:p>
        </c:rich>
      </c:tx>
      <c:layout>
        <c:manualLayout>
          <c:xMode val="edge"/>
          <c:yMode val="edge"/>
          <c:x val="0.367362019979662"/>
          <c:y val="0.0546826909794175"/>
        </c:manualLayout>
      </c:layout>
      <c:overlay val="false"/>
      <c:spPr>
        <a:noFill/>
        <a:ln>
          <a:noFill/>
          <a:round/>
        </a:ln>
      </c:spPr>
    </c:title>
    <c:autoTitleDeleted val="false"/>
    <c:plotArea>
      <c:layout>
        <c:manualLayout>
          <c:layoutTarget val="inner"/>
          <c:xMode val="edge"/>
          <c:yMode val="edge"/>
          <c:x val="0.133544722450832"/>
          <c:y val="0.251231908831907"/>
          <c:w val="0.800158061116962"/>
          <c:h val="0.630933333333336"/>
        </c:manualLayout>
      </c:layout>
      <c:barChart>
        <c:barDir val="col"/>
        <c:grouping val="clustered"/>
        <c:varyColors val="false"/>
        <c:ser>
          <c:idx val="0"/>
          <c:order val="0"/>
          <c:spPr>
            <a:solidFill>
              <a:srgbClr val="4F81BD">
                <a:alpha val="100000"/>
              </a:srgbClr>
            </a:solidFill>
            <a:ln>
              <a:noFill/>
              <a:round/>
            </a:ln>
          </c:spPr>
          <c:invertIfNegative val="false"/>
          <c:dLbls>
            <c:spPr>
              <a:noFill/>
              <a:ln>
                <a:noFill/>
              </a:ln>
              <a:effectLst/>
            </c:spPr>
            <c:txPr>
              <a:bodyPr rot="0" spcFirstLastPara="0" vertOverflow="ellipsis" vert="horz" wrap="square" lIns="38100" tIns="19050" rIns="38100" bIns="19050" anchor="b" anchorCtr="true"/>
              <a:lstStyle/>
              <a:p>
                <a:pPr>
                  <a:defRPr lang="zh-CN" sz="900" b="0" i="0" u="none" strike="noStrike" kern="1200" baseline="0">
                    <a:solidFill>
                      <a:srgbClr val="404040"/>
                    </a:solidFill>
                    <a:latin typeface="宋体" charset="-122"/>
                    <a:ea typeface="宋体"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Sheet1!$G$1:$G$2</c:f>
              <c:strCache>
                <c:ptCount val="2"/>
                <c:pt idx="0">
                  <c:v>2022年</c:v>
                </c:pt>
                <c:pt idx="1">
                  <c:v>2023年</c:v>
                </c:pt>
              </c:strCache>
            </c:strRef>
          </c:cat>
          <c:val>
            <c:numRef>
              <c:f>Sheet1!$H$1:$H$2</c:f>
              <c:numCache>
                <c:formatCode>_ * #,##0.00_ ;_ * \-#,##0.00_ ;_ * "-"??_ ;_ @_ </c:formatCode>
                <c:ptCount val="2"/>
                <c:pt idx="0">
                  <c:v>2031</c:v>
                </c:pt>
                <c:pt idx="1">
                  <c:v>2028.37</c:v>
                </c:pt>
              </c:numCache>
            </c:numRef>
          </c:val>
        </c:ser>
        <c:dLbls>
          <c:showLegendKey val="false"/>
          <c:showVal val="true"/>
          <c:showCatName val="false"/>
          <c:showSerName val="false"/>
          <c:showPercent val="false"/>
          <c:showBubbleSize val="false"/>
        </c:dLbls>
        <c:gapWidth val="219"/>
        <c:overlap val="-27"/>
        <c:axId val="194293120"/>
        <c:axId val="195159168"/>
      </c:barChart>
      <c:catAx>
        <c:axId val="194293120"/>
        <c:scaling>
          <c:orientation val="minMax"/>
        </c:scaling>
        <c:delete val="false"/>
        <c:axPos val="b"/>
        <c:numFmt formatCode="General" sourceLinked="false"/>
        <c:majorTickMark val="none"/>
        <c:minorTickMark val="none"/>
        <c:tickLblPos val="nextTo"/>
        <c:spPr>
          <a:noFill/>
          <a:ln w="9525" cap="flat" cmpd="sng" algn="ctr">
            <a:solidFill>
              <a:srgbClr val="D9D9D9">
                <a:alpha val="100000"/>
              </a:srgbClr>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宋体" charset="-122"/>
                <a:ea typeface="宋体" charset="-122"/>
                <a:cs typeface="+mn-cs"/>
              </a:defRPr>
            </a:pPr>
          </a:p>
        </c:txPr>
        <c:crossAx val="195159168"/>
        <c:crosses val="autoZero"/>
        <c:auto val="true"/>
        <c:lblAlgn val="ctr"/>
        <c:lblOffset val="100"/>
        <c:noMultiLvlLbl val="false"/>
      </c:catAx>
      <c:valAx>
        <c:axId val="195159168"/>
        <c:scaling>
          <c:orientation val="minMax"/>
        </c:scaling>
        <c:delete val="false"/>
        <c:axPos val="l"/>
        <c:majorGridlines>
          <c:spPr>
            <a:ln w="9525" cap="flat" cmpd="sng" algn="ctr">
              <a:solidFill>
                <a:srgbClr val="D9D9D9">
                  <a:alpha val="100000"/>
                </a:srgbClr>
              </a:solidFill>
              <a:prstDash val="solid"/>
              <a:round/>
            </a:ln>
          </c:spPr>
        </c:majorGridlines>
        <c:numFmt formatCode="_ * #,##0.00_ ;_ * \-#,##0.00_ ;_ * &quot;-&quot;??_ ;_ @_ " sourceLinked="true"/>
        <c:majorTickMark val="none"/>
        <c:minorTickMark val="none"/>
        <c:tickLblPos val="nextTo"/>
        <c:spPr>
          <a:noFill/>
          <a:ln w="9525" cap="flat" cmpd="sng" algn="ctr">
            <a:no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宋体" charset="-122"/>
                <a:ea typeface="宋体" charset="-122"/>
                <a:cs typeface="+mn-cs"/>
              </a:defRPr>
            </a:pPr>
          </a:p>
        </c:txPr>
        <c:crossAx val="194293120"/>
        <c:crosses val="autoZero"/>
        <c:crossBetween val="between"/>
      </c:valAx>
      <c:spPr>
        <a:noFill/>
        <a:ln>
          <a:noFill/>
          <a:round/>
        </a:ln>
      </c:spPr>
    </c:plotArea>
    <c:plotVisOnly val="true"/>
    <c:dispBlanksAs val="gap"/>
    <c:showDLblsOverMax val="false"/>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charset="-122"/>
          <a:ea typeface="宋体"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10948508081227"/>
          <c:y val="0.0634814398200225"/>
        </c:manualLayout>
      </c:layout>
      <c:overlay val="false"/>
      <c:txPr>
        <a:bodyPr rot="0" spcFirstLastPara="0" vertOverflow="ellipsis" vert="horz" wrap="square" anchor="ctr" anchorCtr="true"/>
        <a:lstStyle/>
        <a:p>
          <a:pPr>
            <a:defRPr lang="zh-CN" sz="181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收入情况</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Pt>
            <c:idx val="7"/>
            <c:bubble3D val="false"/>
          </c:dPt>
          <c:dLbls>
            <c:dLbl>
              <c:idx val="0"/>
              <c:layout>
                <c:manualLayout>
                  <c:x val="0.156588229939466"/>
                  <c:y val="-0.0719678714859438"/>
                </c:manualLayout>
              </c:layout>
              <c:tx>
                <c:rich>
                  <a:bodyPr rot="0" spcFirstLastPara="0" vertOverflow="ellipsis" vert="horz" wrap="square" lIns="38100" tIns="19050" rIns="38100" bIns="19050" anchor="ctr" anchorCtr="true"/>
                  <a:lstStyle/>
                  <a:p>
                    <a:pPr>
                      <a:defRPr lang="zh-CN" sz="1005" b="0" i="0" u="none" strike="noStrike" kern="1200" baseline="0">
                        <a:solidFill>
                          <a:schemeClr val="tx1"/>
                        </a:solidFill>
                        <a:latin typeface="+mn-lt"/>
                        <a:ea typeface="+mn-ea"/>
                        <a:cs typeface="+mn-cs"/>
                      </a:defRPr>
                    </a:pPr>
                    <a:r>
                      <a:rPr lang="en-US" altLang="en-US"/>
                      <a:t>2002.88</a:t>
                    </a:r>
                    <a:r>
                      <a:rPr altLang="en-US"/>
                      <a:t>,</a:t>
                    </a:r>
                    <a:r>
                      <a:rPr altLang="en-US" baseline="0"/>
                      <a:t> </a:t>
                    </a:r>
                    <a:endParaRPr lang="en-US" altLang="en-US" baseline="0"/>
                  </a:p>
                  <a:p>
                    <a:pPr>
                      <a:defRPr lang="zh-CN" sz="1005" b="0" i="0" u="none" strike="noStrike" kern="1200" baseline="0">
                        <a:solidFill>
                          <a:schemeClr val="tx1"/>
                        </a:solidFill>
                        <a:latin typeface="+mn-lt"/>
                        <a:ea typeface="+mn-ea"/>
                        <a:cs typeface="+mn-cs"/>
                      </a:defRPr>
                    </a:pPr>
                    <a:r>
                      <a:rPr altLang="en-US" baseline="0"/>
                      <a:t> </a:t>
                    </a:r>
                    <a:r>
                      <a:rPr lang="en-US" altLang="en-US"/>
                      <a:t>98.74</a:t>
                    </a:r>
                    <a:r>
                      <a:rPr altLang="en-US"/>
                      <a:t>%</a:t>
                    </a:r>
                    <a:endParaRPr altLang="en-US"/>
                  </a:p>
                </c:rich>
              </c:tx>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1"/>
              <c:delete val="true"/>
            </c:dLbl>
            <c:dLbl>
              <c:idx val="2"/>
              <c:delete val="true"/>
            </c:dLbl>
            <c:dLbl>
              <c:idx val="3"/>
              <c:delete val="true"/>
            </c:dLbl>
            <c:dLbl>
              <c:idx val="4"/>
              <c:delete val="true"/>
            </c:dLbl>
            <c:dLbl>
              <c:idx val="5"/>
              <c:delete val="true"/>
            </c:dLbl>
            <c:dLbl>
              <c:idx val="6"/>
              <c:delete val="true"/>
            </c:dLbl>
            <c:dLbl>
              <c:idx val="7"/>
              <c:layout>
                <c:manualLayout>
                  <c:x val="-0.160289573629886"/>
                  <c:y val="0.0253473737469563"/>
                </c:manualLayout>
              </c:layout>
              <c:tx>
                <c:rich>
                  <a:bodyPr rot="0" spcFirstLastPara="0" vertOverflow="ellipsis" vert="horz" wrap="square" lIns="38100" tIns="19050" rIns="38100" bIns="19050" anchor="ctr" anchorCtr="true"/>
                  <a:lstStyle/>
                  <a:p>
                    <a:pPr>
                      <a:defRPr lang="zh-CN" sz="1005" b="0" i="0" u="none" strike="noStrike" kern="1200" baseline="0">
                        <a:solidFill>
                          <a:schemeClr val="tx1"/>
                        </a:solidFill>
                        <a:latin typeface="+mn-lt"/>
                        <a:ea typeface="+mn-ea"/>
                        <a:cs typeface="+mn-cs"/>
                      </a:defRPr>
                    </a:pPr>
                    <a:r>
                      <a:rPr altLang="en-US"/>
                      <a:t>25.49, </a:t>
                    </a:r>
                    <a:endParaRPr lang="en-US" altLang="en-US"/>
                  </a:p>
                  <a:p>
                    <a:pPr>
                      <a:defRPr lang="zh-CN" sz="1005" b="0" i="0" u="none" strike="noStrike" kern="1200" baseline="0">
                        <a:solidFill>
                          <a:schemeClr val="tx1"/>
                        </a:solidFill>
                        <a:latin typeface="+mn-lt"/>
                        <a:ea typeface="+mn-ea"/>
                        <a:cs typeface="+mn-cs"/>
                      </a:defRPr>
                    </a:pPr>
                    <a:r>
                      <a:rPr altLang="en-US"/>
                      <a:t> 1</a:t>
                    </a:r>
                    <a:r>
                      <a:rPr lang="en-US" altLang="en-US"/>
                      <a:t>.26</a:t>
                    </a:r>
                    <a:r>
                      <a:rPr altLang="en-US"/>
                      <a:t>%</a:t>
                    </a:r>
                    <a:endParaRPr altLang="en-US"/>
                  </a:p>
                </c:rich>
              </c:tx>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spPr>
              <a:noFill/>
              <a:ln w="25544">
                <a:noFill/>
              </a:ln>
              <a:effectLst/>
            </c:spPr>
            <c:txPr>
              <a:bodyPr rot="0" spcFirstLastPara="0" vertOverflow="ellipsis" vert="horz" wrap="square" lIns="38100" tIns="19050" rIns="38100" bIns="19050" anchor="ctr" anchorCtr="true"/>
              <a:lstStyle/>
              <a:p>
                <a:pPr>
                  <a:defRPr lang="zh-CN" sz="1005"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2002.88</c:v>
                </c:pt>
                <c:pt idx="7">
                  <c:v>25.49</c:v>
                </c:pt>
              </c:numCache>
            </c:numRef>
          </c:val>
        </c:ser>
        <c:dLbls>
          <c:showLegendKey val="false"/>
          <c:showVal val="true"/>
          <c:showCatName val="false"/>
          <c:showSerName val="false"/>
          <c:showPercent val="false"/>
          <c:showBubbleSize val="false"/>
          <c:showLeaderLines val="true"/>
        </c:dLbls>
        <c:firstSliceAng val="0"/>
      </c:pieChart>
      <c:spPr>
        <a:noFill/>
        <a:ln w="25544">
          <a:noFill/>
        </a:ln>
      </c:spPr>
    </c:plotArea>
    <c:legend>
      <c:legendPos val="r"/>
      <c:legendEntry>
        <c:idx val="1"/>
        <c:delete val="true"/>
      </c:legendEntry>
      <c:legendEntry>
        <c:idx val="2"/>
        <c:delete val="true"/>
      </c:legendEntry>
      <c:legendEntry>
        <c:idx val="3"/>
        <c:delete val="true"/>
      </c:legendEntry>
      <c:legendEntry>
        <c:idx val="4"/>
        <c:delete val="true"/>
      </c:legendEntry>
      <c:legendEntry>
        <c:idx val="5"/>
        <c:delete val="true"/>
      </c:legendEntry>
      <c:legendEntry>
        <c:idx val="6"/>
        <c:delete val="true"/>
      </c:legendEntry>
      <c:layout/>
      <c:overlay val="false"/>
      <c:txPr>
        <a:bodyPr rot="0" spcFirstLastPara="0" vertOverflow="ellipsis" vert="horz" wrap="square" anchor="ctr" anchorCtr="true"/>
        <a:lstStyle/>
        <a:p>
          <a:pPr>
            <a:defRPr lang="zh-CN" sz="1005"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a:defRPr lang="zh-CN" sz="1400" b="0" i="0" u="none" strike="noStrike" kern="1200" baseline="0">
                <a:solidFill>
                  <a:srgbClr val="000000"/>
                </a:solidFill>
                <a:latin typeface="宋体" charset="-122"/>
                <a:ea typeface="宋体" charset="-122"/>
                <a:cs typeface="+mn-cs"/>
              </a:defRPr>
            </a:pPr>
            <a:r>
              <a:rPr lang="ko-KR" altLang="en-US" sz="1400" b="0" i="0" u="none" baseline="0">
                <a:solidFill>
                  <a:srgbClr val="595959"/>
                </a:solidFill>
                <a:latin typeface="宋体" charset="-122"/>
                <a:ea typeface="宋体" charset="-122"/>
              </a:rPr>
              <a:t>支出分类</a:t>
            </a:r>
            <a:endParaRPr lang="ko-KR" altLang="en-US" sz="1400" b="0" i="0" u="none" baseline="0">
              <a:solidFill>
                <a:srgbClr val="595959"/>
              </a:solidFill>
              <a:latin typeface="宋体" charset="-122"/>
              <a:ea typeface="宋体" charset="-122"/>
            </a:endParaRPr>
          </a:p>
        </c:rich>
      </c:tx>
      <c:layout>
        <c:manualLayout>
          <c:xMode val="edge"/>
          <c:yMode val="edge"/>
          <c:x val="0.316091752898704"/>
          <c:y val="0.0277777777777783"/>
        </c:manualLayout>
      </c:layout>
      <c:overlay val="false"/>
      <c:spPr>
        <a:noFill/>
        <a:ln>
          <a:noFill/>
          <a:round/>
        </a:ln>
      </c:spPr>
    </c:title>
    <c:autoTitleDeleted val="false"/>
    <c:plotArea>
      <c:layout/>
      <c:pieChart>
        <c:varyColors val="true"/>
        <c:ser>
          <c:idx val="0"/>
          <c:order val="0"/>
          <c:explosion val="6"/>
          <c:dPt>
            <c:idx val="0"/>
            <c:bubble3D val="false"/>
          </c:dPt>
          <c:dPt>
            <c:idx val="1"/>
            <c:bubble3D val="false"/>
          </c:dPt>
          <c:dLbls>
            <c:dLbl>
              <c:idx val="0"/>
              <c:layout>
                <c:manualLayout>
                  <c:x val="0.0768053639799346"/>
                  <c:y val="-0.0442767685535371"/>
                </c:manualLayout>
              </c:layout>
              <c:tx>
                <c:rich>
                  <a:bodyPr rot="0" spcFirstLastPara="0" vertOverflow="ellipsis" vert="horz" wrap="square" lIns="38100" tIns="19050" rIns="38100" bIns="19050" anchor="b" anchorCtr="true"/>
                  <a:lstStyle/>
                  <a:p>
                    <a:pPr>
                      <a:defRPr lang="zh-CN" sz="1000" b="0" i="0" u="none" strike="noStrike" kern="1200" baseline="0">
                        <a:solidFill>
                          <a:srgbClr val="000000"/>
                        </a:solidFill>
                        <a:latin typeface="宋体" charset="-122"/>
                        <a:ea typeface="宋体" charset="-122"/>
                        <a:cs typeface="+mn-cs"/>
                      </a:defRPr>
                    </a:pPr>
                    <a:r>
                      <a:rPr lang="en-US" altLang="zh-CN"/>
                      <a:t>1700.12  84.88%</a:t>
                    </a:r>
                    <a:endParaRPr lang="en-US" altLang="zh-CN"/>
                  </a:p>
                </c:rich>
              </c:tx>
              <c:numFmt formatCode="0.00%" sourceLinked="false"/>
              <c:spPr>
                <a:noFill/>
                <a:ln>
                  <a:noFill/>
                </a:ln>
                <a:effectLst/>
              </c:spPr>
              <c:txPr>
                <a:bodyPr rot="0" spcFirstLastPara="0" vertOverflow="ellipsis" vert="horz" wrap="square" lIns="38100" tIns="19050" rIns="38100" bIns="19050" anchor="b" anchorCtr="true"/>
                <a:lstStyle/>
                <a:p>
                  <a:pPr>
                    <a:defRPr lang="zh-CN" sz="1000" b="0" i="0" u="none" strike="noStrike" kern="1200" baseline="0">
                      <a:solidFill>
                        <a:srgbClr val="000000"/>
                      </a:solidFill>
                      <a:latin typeface="宋体" charset="-122"/>
                      <a:ea typeface="宋体" charset="-122"/>
                      <a:cs typeface="+mn-cs"/>
                    </a:defRPr>
                  </a:pPr>
                </a:p>
              </c:txPr>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1"/>
              <c:layout>
                <c:manualLayout>
                  <c:x val="-0.179164249205691"/>
                  <c:y val="0.0268233806540606"/>
                </c:manualLayout>
              </c:layout>
              <c:tx>
                <c:rich>
                  <a:bodyPr rot="0" spcFirstLastPara="0" vertOverflow="ellipsis" vert="horz" wrap="square" lIns="38100" tIns="19050" rIns="38100" bIns="19050" anchor="b" anchorCtr="true"/>
                  <a:lstStyle/>
                  <a:p>
                    <a:pPr>
                      <a:defRPr lang="zh-CN" sz="1000" b="0" i="0" u="none" strike="noStrike" kern="1200" baseline="0">
                        <a:solidFill>
                          <a:srgbClr val="000000"/>
                        </a:solidFill>
                        <a:latin typeface="宋体" charset="-122"/>
                        <a:ea typeface="宋体" charset="-122"/>
                        <a:cs typeface="+mn-cs"/>
                      </a:defRPr>
                    </a:pPr>
                    <a:r>
                      <a:rPr lang="en-US" altLang="en-US"/>
                      <a:t>302.76</a:t>
                    </a:r>
                    <a:endParaRPr lang="en-US" altLang="en-US"/>
                  </a:p>
                  <a:p>
                    <a:pPr>
                      <a:defRPr lang="zh-CN" sz="1000" b="0" i="0" u="none" strike="noStrike" kern="1200" baseline="0">
                        <a:solidFill>
                          <a:srgbClr val="000000"/>
                        </a:solidFill>
                        <a:latin typeface="宋体" charset="-122"/>
                        <a:ea typeface="宋体" charset="-122"/>
                        <a:cs typeface="+mn-cs"/>
                      </a:defRPr>
                    </a:pPr>
                    <a:r>
                      <a:rPr lang="en-US" altLang="en-US"/>
                      <a:t>15.12% </a:t>
                    </a:r>
                    <a:endParaRPr lang="en-US" altLang="en-US"/>
                  </a:p>
                </c:rich>
              </c:tx>
              <c:numFmt formatCode="0.00%" sourceLinked="false"/>
              <c:spPr>
                <a:noFill/>
                <a:ln>
                  <a:noFill/>
                </a:ln>
                <a:effectLst/>
              </c:spPr>
              <c:txPr>
                <a:bodyPr rot="0" spcFirstLastPara="0" vertOverflow="ellipsis" vert="horz" wrap="square" lIns="38100" tIns="19050" rIns="38100" bIns="19050" anchor="b" anchorCtr="true"/>
                <a:lstStyle/>
                <a:p>
                  <a:pPr>
                    <a:defRPr lang="zh-CN" sz="1000" b="0" i="0" u="none" strike="noStrike" kern="1200" baseline="0">
                      <a:solidFill>
                        <a:srgbClr val="000000"/>
                      </a:solidFill>
                      <a:latin typeface="宋体" charset="-122"/>
                      <a:ea typeface="宋体" charset="-122"/>
                      <a:cs typeface="+mn-cs"/>
                    </a:defRPr>
                  </a:pPr>
                </a:p>
              </c:txPr>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b" anchorCtr="true"/>
              <a:lstStyle/>
              <a:p>
                <a:pPr>
                  <a:defRPr lang="zh-CN" sz="900" b="0" i="0" u="none" strike="noStrike" kern="1200" baseline="0">
                    <a:solidFill>
                      <a:srgbClr val="404040"/>
                    </a:solidFill>
                    <a:latin typeface="宋体" charset="-122"/>
                    <a:ea typeface="宋体" charset="-122"/>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Sheet1!$D$1:$D$2</c:f>
              <c:strCache>
                <c:ptCount val="2"/>
                <c:pt idx="0">
                  <c:v>基本支出</c:v>
                </c:pt>
                <c:pt idx="1">
                  <c:v>项目支出</c:v>
                </c:pt>
              </c:strCache>
            </c:strRef>
          </c:cat>
          <c:val>
            <c:numRef>
              <c:f>Sheet1!$E$1:$E$2</c:f>
              <c:numCache>
                <c:formatCode>#,##0.00</c:formatCode>
                <c:ptCount val="2"/>
                <c:pt idx="0">
                  <c:v>1700.12</c:v>
                </c:pt>
                <c:pt idx="1">
                  <c:v>302.76</c:v>
                </c:pt>
              </c:numCache>
            </c:numRef>
          </c:val>
        </c:ser>
        <c:dLbls>
          <c:showLegendKey val="false"/>
          <c:showVal val="true"/>
          <c:showCatName val="false"/>
          <c:showSerName val="false"/>
          <c:showPercent val="true"/>
          <c:showBubbleSize val="false"/>
          <c:showLeaderLines val="true"/>
        </c:dLbls>
        <c:firstSliceAng val="0"/>
      </c:pieChart>
      <c:spPr>
        <a:noFill/>
        <a:ln>
          <a:noFill/>
          <a:round/>
        </a:ln>
      </c:spPr>
    </c:plotArea>
    <c:legend>
      <c:legendPos val="b"/>
      <c:layout/>
      <c:overlay val="false"/>
      <c:spPr>
        <a:noFill/>
        <a:ln>
          <a:noFill/>
          <a:round/>
        </a:ln>
      </c:spPr>
      <c:txPr>
        <a:bodyPr rot="0" spcFirstLastPara="0" vertOverflow="ellipsis" vert="horz" wrap="square" anchor="ctr" anchorCtr="true"/>
        <a:lstStyle/>
        <a:p>
          <a:pPr>
            <a:defRPr lang="zh-CN" sz="900" b="0" i="0" u="none" strike="noStrike" kern="1200" baseline="0">
              <a:solidFill>
                <a:srgbClr val="595959"/>
              </a:solidFill>
              <a:latin typeface="宋体" charset="-122"/>
              <a:ea typeface="宋体" charset="-122"/>
              <a:cs typeface="+mn-cs"/>
            </a:defRPr>
          </a:pPr>
        </a:p>
      </c:txPr>
    </c:legend>
    <c:plotVisOnly val="true"/>
    <c:dispBlanksAs val="zero"/>
    <c:showDLblsOverMax val="false"/>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charset="-122"/>
          <a:ea typeface="宋体"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a:defRPr lang="zh-CN" sz="1400" b="0" i="0" u="none" strike="noStrike" kern="1200" baseline="0">
                <a:solidFill>
                  <a:srgbClr val="000000"/>
                </a:solidFill>
                <a:latin typeface="宋体" charset="-122"/>
                <a:ea typeface="宋体" charset="-122"/>
                <a:cs typeface="+mn-cs"/>
              </a:defRPr>
            </a:pPr>
            <a:r>
              <a:rPr lang="zh-CN" altLang="zh-CN" sz="1400" b="0" i="0" u="none" strike="noStrike" baseline="0"/>
              <a:t>财政拨款收、支决算</a:t>
            </a:r>
            <a:endParaRPr lang="ko-KR" altLang="en-US" sz="1400" b="0" i="0" u="none" baseline="0">
              <a:solidFill>
                <a:srgbClr val="595959"/>
              </a:solidFill>
              <a:latin typeface="宋体" charset="-122"/>
              <a:ea typeface="宋体" charset="-122"/>
            </a:endParaRPr>
          </a:p>
        </c:rich>
      </c:tx>
      <c:layout>
        <c:manualLayout>
          <c:xMode val="edge"/>
          <c:yMode val="edge"/>
          <c:x val="0.252124329053463"/>
          <c:y val="0.0533704994890906"/>
        </c:manualLayout>
      </c:layout>
      <c:overlay val="false"/>
      <c:spPr>
        <a:noFill/>
        <a:ln>
          <a:noFill/>
          <a:round/>
        </a:ln>
      </c:spPr>
    </c:title>
    <c:autoTitleDeleted val="false"/>
    <c:plotArea>
      <c:layout>
        <c:manualLayout>
          <c:layoutTarget val="inner"/>
          <c:xMode val="edge"/>
          <c:yMode val="edge"/>
          <c:x val="0.133544722450832"/>
          <c:y val="0.251231908831906"/>
          <c:w val="0.800158061116959"/>
          <c:h val="0.630933333333339"/>
        </c:manualLayout>
      </c:layout>
      <c:barChart>
        <c:barDir val="col"/>
        <c:grouping val="clustered"/>
        <c:varyColors val="false"/>
        <c:ser>
          <c:idx val="0"/>
          <c:order val="0"/>
          <c:spPr>
            <a:solidFill>
              <a:srgbClr val="4F81BD">
                <a:alpha val="100000"/>
              </a:srgbClr>
            </a:solidFill>
            <a:ln>
              <a:noFill/>
              <a:round/>
            </a:ln>
          </c:spPr>
          <c:invertIfNegative val="false"/>
          <c:dLbls>
            <c:spPr>
              <a:noFill/>
              <a:ln>
                <a:noFill/>
              </a:ln>
              <a:effectLst/>
            </c:spPr>
            <c:txPr>
              <a:bodyPr rot="0" spcFirstLastPara="0" vertOverflow="ellipsis" vert="horz" wrap="square" lIns="38100" tIns="19050" rIns="38100" bIns="19050" anchor="b" anchorCtr="true"/>
              <a:lstStyle/>
              <a:p>
                <a:pPr>
                  <a:defRPr lang="zh-CN" sz="900" b="0" i="0" u="none" strike="noStrike" kern="1200" baseline="0">
                    <a:solidFill>
                      <a:srgbClr val="404040"/>
                    </a:solidFill>
                    <a:latin typeface="宋体" charset="-122"/>
                    <a:ea typeface="宋体"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Sheet1!$D$43:$D$46</c:f>
              <c:strCache>
                <c:ptCount val="2"/>
                <c:pt idx="0">
                  <c:v>2022年</c:v>
                </c:pt>
                <c:pt idx="1">
                  <c:v>2023年</c:v>
                </c:pt>
              </c:strCache>
            </c:strRef>
          </c:cat>
          <c:val>
            <c:numRef>
              <c:f>Sheet1!$E$43:$E$46</c:f>
              <c:numCache>
                <c:formatCode>General</c:formatCode>
                <c:ptCount val="4"/>
                <c:pt idx="0">
                  <c:v>1597.46</c:v>
                </c:pt>
                <c:pt idx="1">
                  <c:v>2002.88</c:v>
                </c:pt>
              </c:numCache>
            </c:numRef>
          </c:val>
        </c:ser>
        <c:dLbls>
          <c:showLegendKey val="false"/>
          <c:showVal val="true"/>
          <c:showCatName val="false"/>
          <c:showSerName val="false"/>
          <c:showPercent val="false"/>
          <c:showBubbleSize val="false"/>
        </c:dLbls>
        <c:gapWidth val="219"/>
        <c:overlap val="-27"/>
        <c:axId val="170365312"/>
        <c:axId val="170366848"/>
      </c:barChart>
      <c:catAx>
        <c:axId val="170365312"/>
        <c:scaling>
          <c:orientation val="minMax"/>
        </c:scaling>
        <c:delete val="false"/>
        <c:axPos val="b"/>
        <c:numFmt formatCode="General" sourceLinked="false"/>
        <c:majorTickMark val="none"/>
        <c:minorTickMark val="none"/>
        <c:tickLblPos val="nextTo"/>
        <c:spPr>
          <a:noFill/>
          <a:ln w="9525" cap="flat" cmpd="sng" algn="ctr">
            <a:solidFill>
              <a:srgbClr val="D9D9D9">
                <a:alpha val="100000"/>
              </a:srgbClr>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宋体" charset="-122"/>
                <a:ea typeface="宋体" charset="-122"/>
                <a:cs typeface="+mn-cs"/>
              </a:defRPr>
            </a:pPr>
          </a:p>
        </c:txPr>
        <c:crossAx val="170366848"/>
        <c:crosses val="autoZero"/>
        <c:auto val="true"/>
        <c:lblAlgn val="ctr"/>
        <c:lblOffset val="100"/>
        <c:noMultiLvlLbl val="false"/>
      </c:catAx>
      <c:valAx>
        <c:axId val="170366848"/>
        <c:scaling>
          <c:orientation val="minMax"/>
        </c:scaling>
        <c:delete val="false"/>
        <c:axPos val="l"/>
        <c:majorGridlines>
          <c:spPr>
            <a:ln w="9525" cap="flat" cmpd="sng" algn="ctr">
              <a:solidFill>
                <a:srgbClr val="D9D9D9">
                  <a:alpha val="100000"/>
                </a:srgbClr>
              </a:solidFill>
              <a:prstDash val="solid"/>
              <a:round/>
            </a:ln>
          </c:spPr>
        </c:majorGridlines>
        <c:numFmt formatCode="General" sourceLinked="true"/>
        <c:majorTickMark val="none"/>
        <c:minorTickMark val="none"/>
        <c:tickLblPos val="nextTo"/>
        <c:spPr>
          <a:noFill/>
          <a:ln w="9525" cap="flat" cmpd="sng" algn="ctr">
            <a:no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宋体" charset="-122"/>
                <a:ea typeface="宋体" charset="-122"/>
                <a:cs typeface="+mn-cs"/>
              </a:defRPr>
            </a:pPr>
          </a:p>
        </c:txPr>
        <c:crossAx val="170365312"/>
        <c:crosses val="autoZero"/>
        <c:crossBetween val="between"/>
      </c:valAx>
      <c:spPr>
        <a:noFill/>
        <a:ln>
          <a:noFill/>
          <a:round/>
        </a:ln>
      </c:spPr>
    </c:plotArea>
    <c:plotVisOnly val="true"/>
    <c:dispBlanksAs val="gap"/>
    <c:showDLblsOverMax val="false"/>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charset="-122"/>
          <a:ea typeface="宋体" charset="-12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a:defRPr lang="zh-CN" sz="1400" b="0" i="0" u="none" strike="noStrike" kern="1200" baseline="0">
                <a:solidFill>
                  <a:srgbClr val="000000"/>
                </a:solidFill>
                <a:latin typeface="宋体"/>
                <a:ea typeface="宋体"/>
                <a:cs typeface="+mn-cs"/>
              </a:defRPr>
            </a:pPr>
            <a:r>
              <a:rPr lang="zh-CN" altLang="zh-CN" sz="1400" b="0" i="0" u="none" strike="noStrike" baseline="0"/>
              <a:t>一般公共预算财政拨款支出决算变动情况</a:t>
            </a:r>
            <a:endParaRPr lang="ko-KR" altLang="en-US" sz="1400" b="1" i="0" u="none" strike="noStrike" kern="1200" baseline="0">
              <a:solidFill>
                <a:srgbClr val="000000"/>
              </a:solidFill>
              <a:latin typeface="宋体"/>
              <a:ea typeface="宋体"/>
              <a:cs typeface="+mn-cs"/>
            </a:endParaRPr>
          </a:p>
        </c:rich>
      </c:tx>
      <c:layout>
        <c:manualLayout>
          <c:xMode val="edge"/>
          <c:yMode val="edge"/>
          <c:x val="0.153025185974164"/>
          <c:y val="0.0406476032601188"/>
        </c:manualLayout>
      </c:layout>
      <c:overlay val="false"/>
      <c:spPr>
        <a:noFill/>
        <a:ln>
          <a:noFill/>
          <a:round/>
        </a:ln>
      </c:spPr>
    </c:title>
    <c:autoTitleDeleted val="false"/>
    <c:plotArea>
      <c:layout>
        <c:manualLayout>
          <c:layoutTarget val="inner"/>
          <c:xMode val="edge"/>
          <c:yMode val="edge"/>
          <c:x val="0.133544722450832"/>
          <c:y val="0.251231908831907"/>
          <c:w val="0.800158061116961"/>
          <c:h val="0.630933333333337"/>
        </c:manualLayout>
      </c:layout>
      <c:barChart>
        <c:barDir val="col"/>
        <c:grouping val="clustered"/>
        <c:varyColors val="false"/>
        <c:ser>
          <c:idx val="0"/>
          <c:order val="0"/>
          <c:spPr>
            <a:solidFill>
              <a:srgbClr val="4F81BD">
                <a:alpha val="100000"/>
              </a:srgbClr>
            </a:solidFill>
            <a:ln>
              <a:noFill/>
              <a:round/>
            </a:ln>
          </c:spPr>
          <c:invertIfNegative val="false"/>
          <c:dLbls>
            <c:spPr>
              <a:noFill/>
              <a:ln>
                <a:noFill/>
              </a:ln>
              <a:effectLst/>
            </c:spPr>
            <c:txPr>
              <a:bodyPr rot="0" spcFirstLastPara="0" vertOverflow="ellipsis" vert="horz" wrap="square" lIns="38100" tIns="19050" rIns="38100" bIns="19050" anchor="b" anchorCtr="true"/>
              <a:lstStyle/>
              <a:p>
                <a:pPr>
                  <a:defRPr lang="zh-CN" sz="900" b="0" i="0" u="none" strike="noStrike" kern="1200" baseline="0">
                    <a:solidFill>
                      <a:srgbClr val="404040"/>
                    </a:solidFill>
                    <a:latin typeface="宋体"/>
                    <a:ea typeface="宋体"/>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Sheet1!$H$45:$H$46</c:f>
              <c:strCache>
                <c:ptCount val="2"/>
                <c:pt idx="0">
                  <c:v>2022年</c:v>
                </c:pt>
                <c:pt idx="1">
                  <c:v>2023年</c:v>
                </c:pt>
              </c:strCache>
            </c:strRef>
          </c:cat>
          <c:val>
            <c:numRef>
              <c:f>Sheet1!$I$45:$I$46</c:f>
              <c:numCache>
                <c:formatCode>General</c:formatCode>
                <c:ptCount val="2"/>
                <c:pt idx="0">
                  <c:v>1597.46</c:v>
                </c:pt>
                <c:pt idx="1">
                  <c:v>2002.88</c:v>
                </c:pt>
              </c:numCache>
            </c:numRef>
          </c:val>
        </c:ser>
        <c:dLbls>
          <c:showLegendKey val="false"/>
          <c:showVal val="true"/>
          <c:showCatName val="false"/>
          <c:showSerName val="false"/>
          <c:showPercent val="false"/>
          <c:showBubbleSize val="false"/>
        </c:dLbls>
        <c:gapWidth val="219"/>
        <c:overlap val="-27"/>
        <c:axId val="234678912"/>
        <c:axId val="236281856"/>
      </c:barChart>
      <c:catAx>
        <c:axId val="234678912"/>
        <c:scaling>
          <c:orientation val="minMax"/>
        </c:scaling>
        <c:delete val="false"/>
        <c:axPos val="b"/>
        <c:numFmt formatCode="General" sourceLinked="false"/>
        <c:majorTickMark val="none"/>
        <c:minorTickMark val="none"/>
        <c:tickLblPos val="nextTo"/>
        <c:spPr>
          <a:noFill/>
          <a:ln w="9525" cap="flat" cmpd="sng" algn="ctr">
            <a:solidFill>
              <a:srgbClr val="D9D9D9">
                <a:alpha val="100000"/>
              </a:srgbClr>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宋体"/>
                <a:ea typeface="宋体"/>
                <a:cs typeface="+mn-cs"/>
              </a:defRPr>
            </a:pPr>
          </a:p>
        </c:txPr>
        <c:crossAx val="236281856"/>
        <c:crosses val="autoZero"/>
        <c:auto val="true"/>
        <c:lblAlgn val="ctr"/>
        <c:lblOffset val="100"/>
        <c:noMultiLvlLbl val="false"/>
      </c:catAx>
      <c:valAx>
        <c:axId val="236281856"/>
        <c:scaling>
          <c:orientation val="minMax"/>
        </c:scaling>
        <c:delete val="false"/>
        <c:axPos val="l"/>
        <c:majorGridlines>
          <c:spPr>
            <a:ln w="9525" cap="flat" cmpd="sng" algn="ctr">
              <a:solidFill>
                <a:srgbClr val="D9D9D9">
                  <a:alpha val="100000"/>
                </a:srgbClr>
              </a:solidFill>
              <a:prstDash val="solid"/>
              <a:round/>
            </a:ln>
          </c:spPr>
        </c:majorGridlines>
        <c:numFmt formatCode="General" sourceLinked="true"/>
        <c:majorTickMark val="none"/>
        <c:minorTickMark val="none"/>
        <c:tickLblPos val="nextTo"/>
        <c:spPr>
          <a:noFill/>
          <a:ln w="9525" cap="flat" cmpd="sng" algn="ctr">
            <a:no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宋体"/>
                <a:ea typeface="宋体"/>
                <a:cs typeface="+mn-cs"/>
              </a:defRPr>
            </a:pPr>
          </a:p>
        </c:txPr>
        <c:crossAx val="234678912"/>
        <c:crosses val="autoZero"/>
        <c:crossBetween val="between"/>
      </c:valAx>
      <c:spPr>
        <a:noFill/>
        <a:ln>
          <a:noFill/>
          <a:round/>
        </a:ln>
      </c:spPr>
    </c:plotArea>
    <c:plotVisOnly val="true"/>
    <c:dispBlanksAs val="gap"/>
    <c:showDLblsOverMax val="false"/>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a:ea typeface="宋体"/>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500" baseline="0"/>
              <a:t>一般公共预算财政拨款支出</a:t>
            </a:r>
            <a:endParaRPr lang="zh-CN" sz="1500" baseline="0"/>
          </a:p>
        </c:rich>
      </c:tx>
      <c:layout/>
      <c:overlay val="false"/>
    </c:title>
    <c:autoTitleDeleted val="false"/>
    <c:plotArea>
      <c:layout/>
      <c:pieChart>
        <c:varyColors val="true"/>
        <c:ser>
          <c:idx val="0"/>
          <c:order val="0"/>
          <c:explosion val="73"/>
          <c:dPt>
            <c:idx val="0"/>
            <c:bubble3D val="false"/>
          </c:dPt>
          <c:dPt>
            <c:idx val="1"/>
            <c:bubble3D val="false"/>
            <c:explosion val="0"/>
          </c:dPt>
          <c:dPt>
            <c:idx val="2"/>
            <c:bubble3D val="false"/>
          </c:dPt>
          <c:dPt>
            <c:idx val="3"/>
            <c:bubble3D val="false"/>
          </c:dPt>
          <c:dLbls>
            <c:dLbl>
              <c:idx val="0"/>
              <c:layout>
                <c:manualLayout>
                  <c:x val="0.153332782947849"/>
                  <c:y val="0.198443498700533"/>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0299892483945367"/>
                  <c:y val="-0.11553823555529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layout>
                <c:manualLayout>
                  <c:x val="0.0220906599424195"/>
                  <c:y val="0.340112923277291"/>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3"/>
              <c:layout>
                <c:manualLayout>
                  <c:x val="-0.274358256092457"/>
                  <c:y val="0.141374707701871"/>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Sheet1!$D$22:$D$25</c:f>
              <c:strCache>
                <c:ptCount val="4"/>
                <c:pt idx="0">
                  <c:v>一般公共预算财政拨款支出</c:v>
                </c:pt>
                <c:pt idx="1">
                  <c:v>教育支出</c:v>
                </c:pt>
                <c:pt idx="2">
                  <c:v>社会保障和就业支出</c:v>
                </c:pt>
                <c:pt idx="3">
                  <c:v>住房保障支出</c:v>
                </c:pt>
              </c:strCache>
            </c:strRef>
          </c:cat>
          <c:val>
            <c:numRef>
              <c:f>Sheet1!$E$22:$E$25</c:f>
              <c:numCache>
                <c:formatCode>General</c:formatCode>
                <c:ptCount val="4"/>
                <c:pt idx="0">
                  <c:v>0.59</c:v>
                </c:pt>
                <c:pt idx="1">
                  <c:v>1750.16</c:v>
                </c:pt>
                <c:pt idx="2">
                  <c:v>134.35</c:v>
                </c:pt>
                <c:pt idx="3">
                  <c:v>117.78</c:v>
                </c:pt>
              </c:numCache>
            </c:numRef>
          </c:val>
        </c:ser>
        <c:ser>
          <c:idx val="1"/>
          <c:order val="1"/>
          <c:explosion val="0"/>
          <c:dPt>
            <c:idx val="0"/>
            <c:bubble3D val="false"/>
          </c:dPt>
          <c:dPt>
            <c:idx val="1"/>
            <c:bubble3D val="false"/>
          </c:dPt>
          <c:dPt>
            <c:idx val="2"/>
            <c:bubble3D val="false"/>
          </c:dPt>
          <c:dPt>
            <c:idx val="3"/>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Sheet1!$D$22:$D$25</c:f>
              <c:strCache>
                <c:ptCount val="4"/>
                <c:pt idx="0">
                  <c:v>一般公共预算财政拨款支出</c:v>
                </c:pt>
                <c:pt idx="1">
                  <c:v>教育支出</c:v>
                </c:pt>
                <c:pt idx="2">
                  <c:v>社会保障和就业支出</c:v>
                </c:pt>
                <c:pt idx="3">
                  <c:v>住房保障支出</c:v>
                </c:pt>
              </c:strCache>
            </c:strRef>
          </c:cat>
          <c:val>
            <c:numRef>
              <c:f>Sheet1!$F$22:$F$25</c:f>
              <c:numCache>
                <c:formatCode>_ * #,##0.00_ ;_ * \-#,##0.00_ ;_ * "-"??_ ;_ @_ </c:formatCode>
                <c:ptCount val="4"/>
                <c:pt idx="0">
                  <c:v>0.0294575810832401</c:v>
                </c:pt>
                <c:pt idx="1">
                  <c:v>87.382169675667</c:v>
                </c:pt>
                <c:pt idx="2">
                  <c:v>6.70784070937849</c:v>
                </c:pt>
                <c:pt idx="3">
                  <c:v>5.88053203387123</c:v>
                </c:pt>
              </c:numCache>
            </c:numRef>
          </c:val>
        </c:ser>
        <c:dLbls>
          <c:showLegendKey val="false"/>
          <c:showVal val="false"/>
          <c:showCatName val="true"/>
          <c:showSerName val="false"/>
          <c:showPercent val="true"/>
          <c:showBubbleSize val="false"/>
          <c:showLeaderLines val="true"/>
        </c:dLbls>
        <c:firstSliceAng val="0"/>
      </c:pieChart>
    </c:plotArea>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9219"/>
    <customShpInfo spid="_x0000_s9218"/>
    <customShpInfo spid="_x0000_s921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40</Pages>
  <Words>17693</Words>
  <Characters>8649</Characters>
  <Lines>72</Lines>
  <Paragraphs>52</Paragraphs>
  <TotalTime>9</TotalTime>
  <ScaleCrop>false</ScaleCrop>
  <LinksUpToDate>false</LinksUpToDate>
  <CharactersWithSpaces>26290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2024-09-12T02:18:00Z</dcterms:created>
  <dc:creator>曹颖</dc:creator>
  <cp:lastModifiedBy>user</cp:lastModifiedBy>
  <cp:lastPrinted>2021-10-14T01:14:00Z</cp:lastPrinted>
  <dcterms:modified xsi:type="dcterms:W3CDTF">2024-09-19T16:06:06Z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2B38D1B04216479FA08F791FFDDB5A87</vt:lpwstr>
  </property>
</Properties>
</file>