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sz w:val="72"/>
          <w:szCs w:val="72"/>
          <w:lang w:eastAsia="zh-CN" w:bidi="ar"/>
        </w:rPr>
      </w:pPr>
      <w:bookmarkStart w:id="59" w:name="_GoBack"/>
      <w:bookmarkEnd w:id="59"/>
      <w:r>
        <w:rPr>
          <w:rFonts w:hint="eastAsia" w:ascii="Times New Roman" w:hAnsi="Times New Roman" w:eastAsia="方正小标宋简体" w:cs="方正小标宋简体"/>
          <w:sz w:val="72"/>
          <w:szCs w:val="72"/>
          <w:lang w:bidi="ar"/>
        </w:rPr>
        <w:t>攀枝花市仁和区江林小学2025年部门预算</w:t>
      </w:r>
      <w:r>
        <w:rPr>
          <w:rFonts w:hint="default" w:ascii="Times New Roman" w:hAnsi="Times New Roman" w:eastAsia="方正小标宋简体" w:cs="方正小标宋简体"/>
          <w:sz w:val="72"/>
          <w:szCs w:val="72"/>
          <w:lang w:bidi="ar"/>
        </w:rPr>
        <w:t>编制说明</w:t>
      </w:r>
    </w:p>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r>
        <w:rPr>
          <w:rFonts w:hint="eastAsia" w:ascii="Times New Roman" w:hAnsi="Times New Roman" w:eastAsia="方正小标宋简体" w:cs="方正小标宋简体"/>
          <w:kern w:val="0"/>
          <w:sz w:val="36"/>
          <w:szCs w:val="36"/>
          <w:lang w:bidi="ar"/>
        </w:rPr>
        <w:t>目录</w:t>
      </w:r>
    </w:p>
    <w:sdt>
      <w:sdtPr>
        <w:rPr>
          <w:rFonts w:ascii="宋体" w:hAnsi="宋体" w:eastAsia="宋体" w:cs="Times New Roman"/>
          <w:kern w:val="2"/>
          <w:sz w:val="21"/>
          <w:szCs w:val="24"/>
          <w:lang w:val="en-US" w:eastAsia="zh-CN" w:bidi="ar-SA"/>
        </w:rPr>
        <w:id w:val="161477167"/>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0" w:name="_Toc1691731162_WPSOffice_Type3"/>
        </w:p>
        <w:p>
          <w:pPr>
            <w:pStyle w:val="14"/>
            <w:tabs>
              <w:tab w:val="right" w:leader="dot" w:pos="8306"/>
            </w:tabs>
          </w:pPr>
          <w:r>
            <w:fldChar w:fldCharType="begin"/>
          </w:r>
          <w:r>
            <w:instrText xml:space="preserve"> HYPERLINK \l _Toc1417421495_WPSOffice_Level1 </w:instrText>
          </w:r>
          <w:r>
            <w:fldChar w:fldCharType="separate"/>
          </w:r>
          <w:sdt>
            <w:sdtPr>
              <w:rPr>
                <w:rFonts w:ascii="Calibri" w:hAnsi="Calibri" w:eastAsia="宋体" w:cs="Times New Roman"/>
                <w:kern w:val="0"/>
                <w:sz w:val="24"/>
                <w:szCs w:val="24"/>
                <w:lang w:val="en-US" w:eastAsia="zh-CN" w:bidi="ar-SA"/>
              </w:rPr>
              <w:id w:val="161477167"/>
              <w:placeholder>
                <w:docPart w:val="{d9b5946b-a010-4073-a9b4-4468c25fdc3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第一部分 攀枝花市仁和区江林小学概况</w:t>
              </w:r>
            </w:sdtContent>
          </w:sdt>
          <w:r>
            <w:tab/>
          </w:r>
          <w:bookmarkStart w:id="1" w:name="_Toc1417421495_WPSOffice_Level1Page"/>
          <w:r>
            <w:t>4</w:t>
          </w:r>
          <w:bookmarkEnd w:id="1"/>
          <w:r>
            <w:fldChar w:fldCharType="end"/>
          </w:r>
        </w:p>
        <w:p>
          <w:pPr>
            <w:pStyle w:val="15"/>
            <w:tabs>
              <w:tab w:val="right" w:leader="dot" w:pos="8306"/>
            </w:tabs>
          </w:pPr>
          <w:r>
            <w:fldChar w:fldCharType="begin"/>
          </w:r>
          <w:r>
            <w:instrText xml:space="preserve"> HYPERLINK \l _Toc1691731162_WPSOffice_Level2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68fdb626-8772-46c6-ad8f-686861c4ae12}"/>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黑体" w:cs="Times New Roman"/>
                </w:rPr>
                <w:t>一、基本职能及主要工作</w:t>
              </w:r>
            </w:sdtContent>
          </w:sdt>
          <w:r>
            <w:tab/>
          </w:r>
          <w:bookmarkStart w:id="2" w:name="_Toc1691731162_WPSOffice_Level2Page"/>
          <w:r>
            <w:t>4</w:t>
          </w:r>
          <w:bookmarkEnd w:id="2"/>
          <w:r>
            <w:fldChar w:fldCharType="end"/>
          </w:r>
        </w:p>
        <w:p>
          <w:pPr>
            <w:pStyle w:val="16"/>
            <w:tabs>
              <w:tab w:val="right" w:leader="dot" w:pos="8306"/>
            </w:tabs>
          </w:pPr>
          <w:r>
            <w:fldChar w:fldCharType="begin"/>
          </w:r>
          <w:r>
            <w:instrText xml:space="preserve"> HYPERLINK \l _Toc1691731162_WPSOffice_Level3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2f3b728d-bb22-4c82-94e7-fe1c4617378e}"/>
              </w:placeholder>
            </w:sdtPr>
            <w:sdtEndPr>
              <w:rPr>
                <w:rFonts w:ascii="Calibri" w:hAnsi="Calibri" w:eastAsia="宋体" w:cs="Times New Roman"/>
                <w:kern w:val="0"/>
                <w:sz w:val="24"/>
                <w:szCs w:val="24"/>
                <w:lang w:val="en-US" w:eastAsia="zh-CN" w:bidi="ar-SA"/>
              </w:rPr>
            </w:sdtEndPr>
            <w:sdtContent>
              <w:r>
                <w:rPr>
                  <w:rFonts w:hint="eastAsia" w:ascii="方正楷体_GB2312" w:hAnsi="方正楷体_GB2312" w:eastAsia="方正楷体_GB2312" w:cs="方正楷体_GB2312"/>
                </w:rPr>
                <w:t>（一）江林小学职能简介</w:t>
              </w:r>
            </w:sdtContent>
          </w:sdt>
          <w:r>
            <w:tab/>
          </w:r>
          <w:bookmarkStart w:id="3" w:name="_Toc1691731162_WPSOffice_Level3Page"/>
          <w:r>
            <w:t>4</w:t>
          </w:r>
          <w:bookmarkEnd w:id="3"/>
          <w:r>
            <w:fldChar w:fldCharType="end"/>
          </w:r>
        </w:p>
        <w:p>
          <w:pPr>
            <w:pStyle w:val="16"/>
            <w:tabs>
              <w:tab w:val="right" w:leader="dot" w:pos="8306"/>
            </w:tabs>
          </w:pPr>
          <w:r>
            <w:fldChar w:fldCharType="begin"/>
          </w:r>
          <w:r>
            <w:instrText xml:space="preserve"> HYPERLINK \l _Toc1865614398_WPSOffice_Level3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e946d8b8-515f-4d3d-af15-61a477dd9891}"/>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楷体_GB2312" w:cs="Times New Roman"/>
                </w:rPr>
                <w:t>（二）</w:t>
              </w:r>
              <w:r>
                <w:rPr>
                  <w:rFonts w:hint="eastAsia" w:ascii="Times New Roman" w:hAnsi="Times New Roman" w:eastAsia="楷体_GB2312" w:cs="Times New Roman"/>
                </w:rPr>
                <w:t>江林小学2024年重点工作</w:t>
              </w:r>
            </w:sdtContent>
          </w:sdt>
          <w:r>
            <w:tab/>
          </w:r>
          <w:bookmarkStart w:id="4" w:name="_Toc1865614398_WPSOffice_Level3Page"/>
          <w:r>
            <w:t>4</w:t>
          </w:r>
          <w:bookmarkEnd w:id="4"/>
          <w:r>
            <w:fldChar w:fldCharType="end"/>
          </w:r>
        </w:p>
        <w:p>
          <w:pPr>
            <w:pStyle w:val="15"/>
            <w:tabs>
              <w:tab w:val="right" w:leader="dot" w:pos="8306"/>
            </w:tabs>
          </w:pPr>
          <w:r>
            <w:fldChar w:fldCharType="begin"/>
          </w:r>
          <w:r>
            <w:instrText xml:space="preserve"> HYPERLINK \l _Toc1865614398_WPSOffice_Level2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00cd19d9-8c0a-4e3b-afd6-c5e0f26ea1a0}"/>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黑体" w:cs="Times New Roman"/>
                </w:rPr>
                <w:t>二、机构设置情况</w:t>
              </w:r>
            </w:sdtContent>
          </w:sdt>
          <w:r>
            <w:tab/>
          </w:r>
          <w:bookmarkStart w:id="5" w:name="_Toc1865614398_WPSOffice_Level2Page"/>
          <w:r>
            <w:t>5</w:t>
          </w:r>
          <w:bookmarkEnd w:id="5"/>
          <w:r>
            <w:fldChar w:fldCharType="end"/>
          </w:r>
        </w:p>
        <w:p>
          <w:pPr>
            <w:pStyle w:val="14"/>
            <w:tabs>
              <w:tab w:val="right" w:leader="dot" w:pos="8306"/>
            </w:tabs>
          </w:pPr>
          <w:r>
            <w:fldChar w:fldCharType="begin"/>
          </w:r>
          <w:r>
            <w:instrText xml:space="preserve"> HYPERLINK \l _Toc1691731162_WPSOffice_Level1 </w:instrText>
          </w:r>
          <w:r>
            <w:fldChar w:fldCharType="separate"/>
          </w:r>
          <w:sdt>
            <w:sdtPr>
              <w:rPr>
                <w:rFonts w:ascii="Calibri" w:hAnsi="Calibri" w:eastAsia="宋体" w:cs="Times New Roman"/>
                <w:kern w:val="0"/>
                <w:sz w:val="24"/>
                <w:szCs w:val="24"/>
                <w:lang w:val="en-US" w:eastAsia="zh-CN" w:bidi="ar-SA"/>
              </w:rPr>
              <w:id w:val="161477167"/>
              <w:placeholder>
                <w:docPart w:val="{980747fc-28e2-481a-becc-7b0ea8511802}"/>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第二部分 攀枝花市仁和区江林小学</w:t>
              </w:r>
            </w:sdtContent>
          </w:sdt>
          <w:r>
            <w:tab/>
          </w:r>
          <w:bookmarkStart w:id="6" w:name="_Toc1691731162_WPSOffice_Level1Page"/>
          <w:r>
            <w:t>5</w:t>
          </w:r>
          <w:bookmarkEnd w:id="6"/>
          <w:r>
            <w:fldChar w:fldCharType="end"/>
          </w:r>
        </w:p>
        <w:p>
          <w:pPr>
            <w:pStyle w:val="15"/>
            <w:tabs>
              <w:tab w:val="right" w:leader="dot" w:pos="8306"/>
            </w:tabs>
          </w:pPr>
          <w:r>
            <w:fldChar w:fldCharType="begin"/>
          </w:r>
          <w:r>
            <w:instrText xml:space="preserve"> HYPERLINK \l _Toc695279737_WPSOffice_Level2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849a0a08-1d02-40bb-9f30-45742481f77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2025年部门预算情况说明</w:t>
              </w:r>
            </w:sdtContent>
          </w:sdt>
          <w:r>
            <w:tab/>
          </w:r>
          <w:bookmarkStart w:id="7" w:name="_Toc695279737_WPSOffice_Level2Page"/>
          <w:r>
            <w:t>5</w:t>
          </w:r>
          <w:bookmarkEnd w:id="7"/>
          <w:r>
            <w:fldChar w:fldCharType="end"/>
          </w:r>
        </w:p>
        <w:p>
          <w:pPr>
            <w:pStyle w:val="15"/>
            <w:tabs>
              <w:tab w:val="right" w:leader="dot" w:pos="8306"/>
            </w:tabs>
          </w:pPr>
          <w:r>
            <w:fldChar w:fldCharType="begin"/>
          </w:r>
          <w:r>
            <w:instrText xml:space="preserve"> HYPERLINK \l _Toc1582431013_WPSOffice_Level2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e9065960-1ae0-48a1-a5ea-97e1aa1716c2}"/>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一、收支预算情况说明</w:t>
              </w:r>
            </w:sdtContent>
          </w:sdt>
          <w:r>
            <w:tab/>
          </w:r>
          <w:bookmarkStart w:id="8" w:name="_Toc1582431013_WPSOffice_Level2Page"/>
          <w:r>
            <w:t>5</w:t>
          </w:r>
          <w:bookmarkEnd w:id="8"/>
          <w:r>
            <w:fldChar w:fldCharType="end"/>
          </w:r>
        </w:p>
        <w:p>
          <w:pPr>
            <w:pStyle w:val="16"/>
            <w:tabs>
              <w:tab w:val="right" w:leader="dot" w:pos="8306"/>
            </w:tabs>
          </w:pPr>
          <w:r>
            <w:fldChar w:fldCharType="begin"/>
          </w:r>
          <w:r>
            <w:instrText xml:space="preserve"> HYPERLINK \l _Toc695279737_WPSOffice_Level3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df593bae-8e67-4b41-b30c-f57895a955c7}"/>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（一）收入预算情况</w:t>
              </w:r>
            </w:sdtContent>
          </w:sdt>
          <w:r>
            <w:tab/>
          </w:r>
          <w:bookmarkStart w:id="9" w:name="_Toc695279737_WPSOffice_Level3Page"/>
          <w:r>
            <w:t>6</w:t>
          </w:r>
          <w:bookmarkEnd w:id="9"/>
          <w:r>
            <w:fldChar w:fldCharType="end"/>
          </w:r>
        </w:p>
        <w:p>
          <w:pPr>
            <w:pStyle w:val="16"/>
            <w:tabs>
              <w:tab w:val="right" w:leader="dot" w:pos="8306"/>
            </w:tabs>
          </w:pPr>
          <w:r>
            <w:fldChar w:fldCharType="begin"/>
          </w:r>
          <w:r>
            <w:instrText xml:space="preserve"> HYPERLINK \l _Toc1582431013_WPSOffice_Level3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af313d21-c8f1-4388-b28c-c6c9f6a36571}"/>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（二）支出预算情况</w:t>
              </w:r>
            </w:sdtContent>
          </w:sdt>
          <w:r>
            <w:tab/>
          </w:r>
          <w:bookmarkStart w:id="10" w:name="_Toc1582431013_WPSOffice_Level3Page"/>
          <w:r>
            <w:t>6</w:t>
          </w:r>
          <w:bookmarkEnd w:id="10"/>
          <w:r>
            <w:fldChar w:fldCharType="end"/>
          </w:r>
        </w:p>
        <w:p>
          <w:pPr>
            <w:pStyle w:val="15"/>
            <w:tabs>
              <w:tab w:val="right" w:leader="dot" w:pos="8306"/>
            </w:tabs>
          </w:pPr>
          <w:r>
            <w:fldChar w:fldCharType="begin"/>
          </w:r>
          <w:r>
            <w:instrText xml:space="preserve"> HYPERLINK \l _Toc1968220052_WPSOffice_Level2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6f19503d-7b75-431f-9063-1229368f48c7}"/>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二、财政拨款收支预算情况说明</w:t>
              </w:r>
            </w:sdtContent>
          </w:sdt>
          <w:r>
            <w:tab/>
          </w:r>
          <w:bookmarkStart w:id="11" w:name="_Toc1968220052_WPSOffice_Level2Page"/>
          <w:r>
            <w:t>6</w:t>
          </w:r>
          <w:bookmarkEnd w:id="11"/>
          <w:r>
            <w:fldChar w:fldCharType="end"/>
          </w:r>
        </w:p>
        <w:p>
          <w:pPr>
            <w:pStyle w:val="15"/>
            <w:tabs>
              <w:tab w:val="right" w:leader="dot" w:pos="8306"/>
            </w:tabs>
          </w:pPr>
          <w:r>
            <w:fldChar w:fldCharType="begin"/>
          </w:r>
          <w:r>
            <w:instrText xml:space="preserve"> HYPERLINK \l _Toc113908651_WPSOffice_Level2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02a71af4-4fa1-4572-a3e5-ec7bfba994c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三、一般公共预算当年拨款情况说明</w:t>
              </w:r>
            </w:sdtContent>
          </w:sdt>
          <w:r>
            <w:tab/>
          </w:r>
          <w:bookmarkStart w:id="12" w:name="_Toc113908651_WPSOffice_Level2Page"/>
          <w:r>
            <w:t>6</w:t>
          </w:r>
          <w:bookmarkEnd w:id="12"/>
          <w:r>
            <w:fldChar w:fldCharType="end"/>
          </w:r>
        </w:p>
        <w:p>
          <w:pPr>
            <w:pStyle w:val="16"/>
            <w:tabs>
              <w:tab w:val="right" w:leader="dot" w:pos="8306"/>
            </w:tabs>
          </w:pPr>
          <w:r>
            <w:fldChar w:fldCharType="begin"/>
          </w:r>
          <w:r>
            <w:instrText xml:space="preserve"> HYPERLINK \l _Toc1968220052_WPSOffice_Level3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fd15cd9b-c31b-4c82-a15f-6493b48b3a9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（一）一般公共预算当年拨款规模变化情况</w:t>
              </w:r>
            </w:sdtContent>
          </w:sdt>
          <w:r>
            <w:tab/>
          </w:r>
          <w:bookmarkStart w:id="13" w:name="_Toc1968220052_WPSOffice_Level3Page"/>
          <w:r>
            <w:t>6</w:t>
          </w:r>
          <w:bookmarkEnd w:id="13"/>
          <w:r>
            <w:fldChar w:fldCharType="end"/>
          </w:r>
        </w:p>
        <w:p>
          <w:pPr>
            <w:pStyle w:val="16"/>
            <w:tabs>
              <w:tab w:val="right" w:leader="dot" w:pos="8306"/>
            </w:tabs>
          </w:pPr>
          <w:r>
            <w:fldChar w:fldCharType="begin"/>
          </w:r>
          <w:r>
            <w:instrText xml:space="preserve"> HYPERLINK \l _Toc113908651_WPSOffice_Level3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588907be-e54d-4d66-a7a9-39280b6a24f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（二）一般公共预算当年拨款结构情况</w:t>
              </w:r>
            </w:sdtContent>
          </w:sdt>
          <w:r>
            <w:tab/>
          </w:r>
          <w:bookmarkStart w:id="14" w:name="_Toc113908651_WPSOffice_Level3Page"/>
          <w:r>
            <w:t>7</w:t>
          </w:r>
          <w:bookmarkEnd w:id="14"/>
          <w:r>
            <w:fldChar w:fldCharType="end"/>
          </w:r>
        </w:p>
        <w:p>
          <w:pPr>
            <w:pStyle w:val="16"/>
            <w:tabs>
              <w:tab w:val="right" w:leader="dot" w:pos="8306"/>
            </w:tabs>
          </w:pPr>
          <w:r>
            <w:fldChar w:fldCharType="begin"/>
          </w:r>
          <w:r>
            <w:instrText xml:space="preserve"> HYPERLINK \l _Toc1253489852_WPSOffice_Level3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796e8507-86be-4510-b312-6cca59b3be44}"/>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（三）一般公共预算当年拨款具体使用情况</w:t>
              </w:r>
            </w:sdtContent>
          </w:sdt>
          <w:r>
            <w:tab/>
          </w:r>
          <w:bookmarkStart w:id="15" w:name="_Toc1253489852_WPSOffice_Level3Page"/>
          <w:r>
            <w:t>7</w:t>
          </w:r>
          <w:bookmarkEnd w:id="15"/>
          <w:r>
            <w:fldChar w:fldCharType="end"/>
          </w:r>
        </w:p>
        <w:p>
          <w:pPr>
            <w:pStyle w:val="15"/>
            <w:tabs>
              <w:tab w:val="right" w:leader="dot" w:pos="8306"/>
            </w:tabs>
          </w:pPr>
          <w:r>
            <w:fldChar w:fldCharType="begin"/>
          </w:r>
          <w:r>
            <w:instrText xml:space="preserve"> HYPERLINK \l _Toc1253489852_WPSOffice_Level2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42baf880-c32b-4c2c-8cdf-495b9ca5fce2}"/>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四、一般公共预算基本支出情况说明</w:t>
              </w:r>
            </w:sdtContent>
          </w:sdt>
          <w:r>
            <w:tab/>
          </w:r>
          <w:bookmarkStart w:id="16" w:name="_Toc1253489852_WPSOffice_Level2Page"/>
          <w:r>
            <w:t>7</w:t>
          </w:r>
          <w:bookmarkEnd w:id="16"/>
          <w:r>
            <w:fldChar w:fldCharType="end"/>
          </w:r>
        </w:p>
        <w:p>
          <w:pPr>
            <w:pStyle w:val="15"/>
            <w:tabs>
              <w:tab w:val="right" w:leader="dot" w:pos="8306"/>
            </w:tabs>
          </w:pPr>
          <w:r>
            <w:fldChar w:fldCharType="begin"/>
          </w:r>
          <w:r>
            <w:instrText xml:space="preserve"> HYPERLINK \l _Toc1345583226_WPSOffice_Level2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923d0b1c-44de-4ef1-8ada-7d0ada836754}"/>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五、“三公”经费财政拨款预算安排情况说明</w:t>
              </w:r>
            </w:sdtContent>
          </w:sdt>
          <w:r>
            <w:tab/>
          </w:r>
          <w:bookmarkStart w:id="17" w:name="_Toc1345583226_WPSOffice_Level2Page"/>
          <w:r>
            <w:t>8</w:t>
          </w:r>
          <w:bookmarkEnd w:id="17"/>
          <w:r>
            <w:fldChar w:fldCharType="end"/>
          </w:r>
        </w:p>
        <w:p>
          <w:pPr>
            <w:pStyle w:val="15"/>
            <w:tabs>
              <w:tab w:val="right" w:leader="dot" w:pos="8306"/>
            </w:tabs>
          </w:pPr>
          <w:r>
            <w:fldChar w:fldCharType="begin"/>
          </w:r>
          <w:r>
            <w:instrText xml:space="preserve"> HYPERLINK \l _Toc1339718767_WPSOffice_Level2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1f5c021e-8a81-4a59-89dc-47e2b654d030}"/>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六、非财政拨款预算安排“三公”经费情况说明</w:t>
              </w:r>
            </w:sdtContent>
          </w:sdt>
          <w:r>
            <w:tab/>
          </w:r>
          <w:bookmarkStart w:id="18" w:name="_Toc1339718767_WPSOffice_Level2Page"/>
          <w:r>
            <w:t>9</w:t>
          </w:r>
          <w:bookmarkEnd w:id="18"/>
          <w:r>
            <w:fldChar w:fldCharType="end"/>
          </w:r>
        </w:p>
        <w:p>
          <w:pPr>
            <w:pStyle w:val="16"/>
            <w:tabs>
              <w:tab w:val="right" w:leader="dot" w:pos="8306"/>
            </w:tabs>
          </w:pPr>
          <w:r>
            <w:fldChar w:fldCharType="begin"/>
          </w:r>
          <w:r>
            <w:instrText xml:space="preserve"> HYPERLINK \l _Toc1345583226_WPSOffice_Level3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32ecf1fd-f3e5-496a-90f7-5d772df10456}"/>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（一）非财政拨款安排公务接待费情况说明</w:t>
              </w:r>
            </w:sdtContent>
          </w:sdt>
          <w:r>
            <w:tab/>
          </w:r>
          <w:bookmarkStart w:id="19" w:name="_Toc1345583226_WPSOffice_Level3Page"/>
          <w:r>
            <w:t>9</w:t>
          </w:r>
          <w:bookmarkEnd w:id="19"/>
          <w:r>
            <w:fldChar w:fldCharType="end"/>
          </w:r>
        </w:p>
        <w:p>
          <w:pPr>
            <w:pStyle w:val="16"/>
            <w:tabs>
              <w:tab w:val="right" w:leader="dot" w:pos="8306"/>
            </w:tabs>
          </w:pPr>
          <w:r>
            <w:fldChar w:fldCharType="begin"/>
          </w:r>
          <w:r>
            <w:instrText xml:space="preserve"> HYPERLINK \l _Toc1339718767_WPSOffice_Level3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ed8f1a63-ab5b-487c-8982-30228128a93a}"/>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（二）非财政拨款安排</w:t>
              </w:r>
              <w:r>
                <w:rPr>
                  <w:rFonts w:hint="eastAsia" w:ascii="Times New Roman" w:hAnsi="Times New Roman" w:eastAsia="楷体_GB2312" w:cs="Times New Roman"/>
                </w:rPr>
                <w:t>公务用车购置及运行维护费</w:t>
              </w:r>
              <w:r>
                <w:rPr>
                  <w:rFonts w:hint="eastAsia" w:ascii="楷体_GB2312" w:hAnsi="楷体_GB2312" w:eastAsia="楷体_GB2312" w:cs="楷体_GB2312"/>
                </w:rPr>
                <w:t>情况说明</w:t>
              </w:r>
            </w:sdtContent>
          </w:sdt>
          <w:r>
            <w:tab/>
          </w:r>
          <w:bookmarkStart w:id="20" w:name="_Toc1339718767_WPSOffice_Level3Page"/>
          <w:r>
            <w:t>9</w:t>
          </w:r>
          <w:bookmarkEnd w:id="20"/>
          <w:r>
            <w:fldChar w:fldCharType="end"/>
          </w:r>
        </w:p>
        <w:p>
          <w:pPr>
            <w:pStyle w:val="15"/>
            <w:tabs>
              <w:tab w:val="right" w:leader="dot" w:pos="8306"/>
            </w:tabs>
          </w:pPr>
          <w:r>
            <w:fldChar w:fldCharType="begin"/>
          </w:r>
          <w:r>
            <w:instrText xml:space="preserve"> HYPERLINK \l _Toc1809298594_WPSOffice_Level2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0e8f72c9-1545-42d4-ad89-d07e046864e9}"/>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七、政府性基金预算支出情况说明</w:t>
              </w:r>
            </w:sdtContent>
          </w:sdt>
          <w:r>
            <w:tab/>
          </w:r>
          <w:bookmarkStart w:id="21" w:name="_Toc1809298594_WPSOffice_Level2Page"/>
          <w:r>
            <w:t>10</w:t>
          </w:r>
          <w:bookmarkEnd w:id="21"/>
          <w:r>
            <w:fldChar w:fldCharType="end"/>
          </w:r>
        </w:p>
        <w:p>
          <w:pPr>
            <w:pStyle w:val="15"/>
            <w:tabs>
              <w:tab w:val="right" w:leader="dot" w:pos="8306"/>
            </w:tabs>
          </w:pPr>
          <w:r>
            <w:fldChar w:fldCharType="begin"/>
          </w:r>
          <w:r>
            <w:instrText xml:space="preserve"> HYPERLINK \l _Toc1995571256_WPSOffice_Level2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72a29ccd-b431-49d1-bde0-7c5bf23d429f}"/>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八、国有资本经营预算情况说明</w:t>
              </w:r>
            </w:sdtContent>
          </w:sdt>
          <w:r>
            <w:tab/>
          </w:r>
          <w:bookmarkStart w:id="22" w:name="_Toc1995571256_WPSOffice_Level2Page"/>
          <w:r>
            <w:t>10</w:t>
          </w:r>
          <w:bookmarkEnd w:id="22"/>
          <w:r>
            <w:fldChar w:fldCharType="end"/>
          </w:r>
        </w:p>
        <w:p>
          <w:pPr>
            <w:pStyle w:val="15"/>
            <w:tabs>
              <w:tab w:val="right" w:leader="dot" w:pos="8306"/>
            </w:tabs>
          </w:pPr>
          <w:r>
            <w:fldChar w:fldCharType="begin"/>
          </w:r>
          <w:r>
            <w:instrText xml:space="preserve"> HYPERLINK \l _Toc1104585435_WPSOffice_Level2 </w:instrText>
          </w:r>
          <w:r>
            <w:fldChar w:fldCharType="separate"/>
          </w:r>
          <w:sdt>
            <w:sdtPr>
              <w:rPr>
                <w:rFonts w:ascii="Calibri" w:hAnsi="Calibri" w:eastAsia="宋体" w:cs="Times New Roman"/>
                <w:kern w:val="0"/>
                <w:sz w:val="24"/>
                <w:szCs w:val="24"/>
                <w:lang w:val="en-US" w:eastAsia="zh-CN" w:bidi="ar-SA"/>
              </w:rPr>
              <w:id w:val="161477167"/>
              <w:placeholder>
                <w:docPart w:val="{8dcdb988-aeea-473c-86a2-ffdd57b3cb4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九、其他重要事项的情况说明</w:t>
              </w:r>
            </w:sdtContent>
          </w:sdt>
          <w:r>
            <w:tab/>
          </w:r>
          <w:bookmarkStart w:id="23" w:name="_Toc1104585435_WPSOffice_Level2Page"/>
          <w:r>
            <w:t>10</w:t>
          </w:r>
          <w:bookmarkEnd w:id="23"/>
          <w:r>
            <w:fldChar w:fldCharType="end"/>
          </w:r>
        </w:p>
        <w:p>
          <w:pPr>
            <w:pStyle w:val="16"/>
            <w:tabs>
              <w:tab w:val="right" w:leader="dot" w:pos="8306"/>
            </w:tabs>
          </w:pPr>
          <w:r>
            <w:fldChar w:fldCharType="begin"/>
          </w:r>
          <w:r>
            <w:instrText xml:space="preserve"> HYPERLINK \l _Toc1809298594_WPSOffice_Level3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de8ca16e-79ca-4c44-8d32-8e4085b60ab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（一）机关运行经费情况</w:t>
              </w:r>
            </w:sdtContent>
          </w:sdt>
          <w:r>
            <w:tab/>
          </w:r>
          <w:bookmarkStart w:id="24" w:name="_Toc1809298594_WPSOffice_Level3Page"/>
          <w:r>
            <w:t>10</w:t>
          </w:r>
          <w:bookmarkEnd w:id="24"/>
          <w:r>
            <w:fldChar w:fldCharType="end"/>
          </w:r>
        </w:p>
        <w:p>
          <w:pPr>
            <w:pStyle w:val="16"/>
            <w:tabs>
              <w:tab w:val="right" w:leader="dot" w:pos="8306"/>
            </w:tabs>
          </w:pPr>
          <w:r>
            <w:fldChar w:fldCharType="begin"/>
          </w:r>
          <w:r>
            <w:instrText xml:space="preserve"> HYPERLINK \l _Toc1995571256_WPSOffice_Level3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f9499113-8cec-44bc-844d-88771fef820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（二）政府采购情况</w:t>
              </w:r>
            </w:sdtContent>
          </w:sdt>
          <w:r>
            <w:tab/>
          </w:r>
          <w:bookmarkStart w:id="25" w:name="_Toc1995571256_WPSOffice_Level3Page"/>
          <w:r>
            <w:t>11</w:t>
          </w:r>
          <w:bookmarkEnd w:id="25"/>
          <w:r>
            <w:fldChar w:fldCharType="end"/>
          </w:r>
        </w:p>
        <w:p>
          <w:pPr>
            <w:pStyle w:val="16"/>
            <w:tabs>
              <w:tab w:val="right" w:leader="dot" w:pos="8306"/>
            </w:tabs>
          </w:pPr>
          <w:r>
            <w:fldChar w:fldCharType="begin"/>
          </w:r>
          <w:r>
            <w:instrText xml:space="preserve"> HYPERLINK \l _Toc1104585435_WPSOffice_Level3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d2131f80-f2be-4524-bbcf-a9fc604493a1}"/>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（三）国有资产占有使用情况</w:t>
              </w:r>
            </w:sdtContent>
          </w:sdt>
          <w:r>
            <w:tab/>
          </w:r>
          <w:bookmarkStart w:id="26" w:name="_Toc1104585435_WPSOffice_Level3Page"/>
          <w:r>
            <w:t>11</w:t>
          </w:r>
          <w:bookmarkEnd w:id="26"/>
          <w:r>
            <w:fldChar w:fldCharType="end"/>
          </w:r>
        </w:p>
        <w:p>
          <w:pPr>
            <w:pStyle w:val="16"/>
            <w:tabs>
              <w:tab w:val="right" w:leader="dot" w:pos="8306"/>
            </w:tabs>
          </w:pPr>
          <w:r>
            <w:fldChar w:fldCharType="begin"/>
          </w:r>
          <w:r>
            <w:instrText xml:space="preserve"> HYPERLINK \l _Toc1321551868_WPSOffice_Level3 </w:instrText>
          </w:r>
          <w:r>
            <w:fldChar w:fldCharType="separate"/>
          </w:r>
          <w:sdt>
            <w:sdtPr>
              <w:rPr>
                <w:rFonts w:ascii="Calibri" w:hAnsi="Calibri" w:eastAsia="宋体" w:cs="Times New Roman"/>
                <w:kern w:val="0"/>
                <w:sz w:val="24"/>
                <w:szCs w:val="24"/>
                <w:lang w:val="en-US" w:eastAsia="zh-CN" w:bidi="ar-SA"/>
              </w:rPr>
              <w:id w:val="161477167"/>
              <w:placeholder>
                <w:docPart w:val="{2987ed39-2ef5-4ae0-94c3-eca29e90e30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（四）预算绩效情况</w:t>
              </w:r>
            </w:sdtContent>
          </w:sdt>
          <w:r>
            <w:tab/>
          </w:r>
          <w:bookmarkStart w:id="27" w:name="_Toc1321551868_WPSOffice_Level3Page"/>
          <w:r>
            <w:t>12</w:t>
          </w:r>
          <w:bookmarkEnd w:id="27"/>
          <w:r>
            <w:fldChar w:fldCharType="end"/>
          </w:r>
        </w:p>
        <w:p>
          <w:pPr>
            <w:pStyle w:val="14"/>
            <w:tabs>
              <w:tab w:val="right" w:leader="dot" w:pos="8306"/>
            </w:tabs>
          </w:pPr>
          <w:r>
            <w:fldChar w:fldCharType="begin"/>
          </w:r>
          <w:r>
            <w:instrText xml:space="preserve"> HYPERLINK \l _Toc1865614398_WPSOffice_Level1 </w:instrText>
          </w:r>
          <w:r>
            <w:fldChar w:fldCharType="separate"/>
          </w:r>
          <w:sdt>
            <w:sdtPr>
              <w:rPr>
                <w:rFonts w:ascii="Calibri" w:hAnsi="Calibri" w:eastAsia="宋体" w:cs="Times New Roman"/>
                <w:kern w:val="0"/>
                <w:sz w:val="24"/>
                <w:szCs w:val="24"/>
                <w:lang w:val="en-US" w:eastAsia="zh-CN" w:bidi="ar-SA"/>
              </w:rPr>
              <w:id w:val="161477167"/>
              <w:placeholder>
                <w:docPart w:val="{b7996249-4f8e-4263-ba56-eee67b2c2594}"/>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 xml:space="preserve">第三部分  </w:t>
              </w:r>
              <w:r>
                <w:rPr>
                  <w:rFonts w:ascii="Times New Roman" w:hAnsi="Times New Roman" w:eastAsia="方正小标宋简体" w:cs="方正小标宋简体"/>
                </w:rPr>
                <w:t>名词解释</w:t>
              </w:r>
            </w:sdtContent>
          </w:sdt>
          <w:r>
            <w:tab/>
          </w:r>
          <w:bookmarkStart w:id="28" w:name="_Toc1865614398_WPSOffice_Level1Page"/>
          <w:r>
            <w:t>13</w:t>
          </w:r>
          <w:bookmarkEnd w:id="28"/>
          <w:r>
            <w:fldChar w:fldCharType="end"/>
          </w:r>
          <w:bookmarkEnd w:id="0"/>
        </w:p>
      </w:sdtContent>
    </w:sdt>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52"/>
          <w:szCs w:val="52"/>
          <w:lang w:bidi="ar"/>
        </w:rPr>
      </w:pPr>
      <w:bookmarkStart w:id="29" w:name="_Toc1417421495_WPSOffice_Level1"/>
      <w:r>
        <w:rPr>
          <w:rFonts w:hint="eastAsia" w:ascii="Times New Roman" w:hAnsi="Times New Roman" w:eastAsia="方正小标宋简体" w:cs="方正小标宋简体"/>
          <w:sz w:val="52"/>
          <w:szCs w:val="52"/>
          <w:lang w:bidi="ar"/>
        </w:rPr>
        <w:t>第一部分 攀枝花市仁和区江林小学概况</w:t>
      </w:r>
      <w:bookmarkEnd w:id="29"/>
    </w:p>
    <w:p>
      <w:pPr>
        <w:suppressAutoHyphens/>
        <w:spacing w:line="600" w:lineRule="exact"/>
        <w:ind w:firstLine="640" w:firstLineChars="200"/>
        <w:rPr>
          <w:rFonts w:hint="default" w:ascii="Times New Roman" w:hAnsi="Times New Roman" w:eastAsia="黑体" w:cs="Times New Roman"/>
          <w:sz w:val="32"/>
          <w:szCs w:val="32"/>
        </w:rPr>
      </w:pPr>
      <w:bookmarkStart w:id="30" w:name="_Toc1691731162_WPSOffice_Level2"/>
      <w:bookmarkStart w:id="31" w:name="_Toc1291253274_WPSOffice_Level3"/>
      <w:r>
        <w:rPr>
          <w:rFonts w:hint="default" w:ascii="Times New Roman" w:hAnsi="Times New Roman" w:eastAsia="黑体" w:cs="Times New Roman"/>
          <w:sz w:val="32"/>
          <w:szCs w:val="32"/>
        </w:rPr>
        <w:t>一、基本职能及主要工作</w:t>
      </w:r>
      <w:bookmarkEnd w:id="30"/>
    </w:p>
    <w:p>
      <w:pPr>
        <w:pStyle w:val="2"/>
        <w:adjustRightInd w:val="0"/>
        <w:spacing w:before="130" w:line="580" w:lineRule="exact"/>
        <w:ind w:firstLine="642" w:firstLineChars="200"/>
        <w:rPr>
          <w:rFonts w:hint="eastAsia" w:ascii="方正楷体_GB2312" w:hAnsi="方正楷体_GB2312" w:eastAsia="方正楷体_GB2312" w:cs="方正楷体_GB2312"/>
          <w:b/>
          <w:sz w:val="32"/>
          <w:szCs w:val="32"/>
        </w:rPr>
      </w:pPr>
      <w:bookmarkStart w:id="32" w:name="_Toc1691731162_WPSOffice_Level3"/>
      <w:r>
        <w:rPr>
          <w:rFonts w:hint="eastAsia" w:ascii="方正楷体_GB2312" w:hAnsi="方正楷体_GB2312" w:eastAsia="方正楷体_GB2312" w:cs="方正楷体_GB2312"/>
          <w:b/>
          <w:sz w:val="32"/>
          <w:szCs w:val="32"/>
        </w:rPr>
        <w:t>（一）江林小学职能简介</w:t>
      </w:r>
      <w:bookmarkEnd w:id="31"/>
      <w:bookmarkEnd w:id="32"/>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江林小学一级事业单位1个。共设教务、总务、德育、办公室4个职能部门。共有21名在职教师，5名退休教师。截至2024年12月31日江林小学共有11个教学班级，359名学生。</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江林小学主要职能是完成九年义务教育小学阶段的义务教育。全面贯彻教育方针和教育法规，依法治校；全面落实学校办学理念，保证学校办学目标的实现；全面管理学校教育教学、科研、教师、培训、安全卫生和后勤等各项工作；全面规划、统安排学校工作，制定学校的学年、学 期工作计划，组织、推动计划的落实，做出计划执行结果的 总结；抓好校风、学风的建设;坚持民主管理、民主办学的原则</w:t>
      </w:r>
    </w:p>
    <w:p>
      <w:pPr>
        <w:pStyle w:val="2"/>
        <w:suppressAutoHyphens/>
        <w:adjustRightInd w:val="0"/>
        <w:spacing w:before="130" w:beforeLines="0" w:after="0" w:line="600" w:lineRule="exact"/>
        <w:ind w:firstLine="674" w:firstLineChars="210"/>
        <w:rPr>
          <w:rFonts w:hint="eastAsia" w:ascii="Times New Roman" w:hAnsi="Times New Roman" w:eastAsia="楷体_GB2312" w:cs="Times New Roman"/>
          <w:b/>
          <w:sz w:val="32"/>
          <w:szCs w:val="32"/>
          <w:lang w:eastAsia="zh-CN"/>
        </w:rPr>
      </w:pPr>
      <w:bookmarkStart w:id="33" w:name="_Toc1865614398_WPSOffice_Level3"/>
      <w:r>
        <w:rPr>
          <w:rFonts w:hint="default" w:ascii="Times New Roman" w:hAnsi="Times New Roman" w:eastAsia="楷体_GB2312" w:cs="Times New Roman"/>
          <w:b/>
          <w:sz w:val="32"/>
        </w:rPr>
        <w:t>（二）</w:t>
      </w:r>
      <w:r>
        <w:rPr>
          <w:rFonts w:hint="eastAsia" w:ascii="Times New Roman" w:hAnsi="Times New Roman" w:eastAsia="楷体_GB2312" w:cs="Times New Roman"/>
          <w:b/>
          <w:sz w:val="32"/>
          <w:szCs w:val="32"/>
          <w:lang w:eastAsia="zh-CN"/>
        </w:rPr>
        <w:t>江林小学2024年重点工作</w:t>
      </w:r>
      <w:bookmarkEnd w:id="33"/>
    </w:p>
    <w:p>
      <w:pPr>
        <w:spacing w:line="600" w:lineRule="exact"/>
        <w:ind w:firstLine="800" w:firstLineChars="25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 按照义务教育课程计划，开齐课程，开足课时，认真实施中小学的教育教学管理，全面推进素质教育，全面提高教育教学质量。</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 宣传贯彻执行党和国家的教育方针、政策、法律法规等，坚持依法治教、依法治学，贯彻执行县教体局的行政规章制度。</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 配合攀枝花市教育局制定符合党的教育方针和国家教育法律法规以及本校实际的教育发展规划和学校布局调整规划，并抓好组织实施和落实工作。</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 巩固提高“两基”工作成果和整体水平，配合各级人民政府依法动员、组织适龄儿童少年入学，严格控制辍学。</w:t>
      </w:r>
    </w:p>
    <w:p>
      <w:pPr>
        <w:spacing w:line="600" w:lineRule="exact"/>
        <w:ind w:firstLine="640" w:firstLineChars="200"/>
        <w:rPr>
          <w:rFonts w:hint="default" w:ascii="Times New Roman" w:hAnsi="Times New Roman" w:eastAsia="黑体" w:cs="Times New Roman"/>
        </w:rPr>
      </w:pPr>
      <w:bookmarkStart w:id="34" w:name="_Toc1865614398_WPSOffice_Level2"/>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机构设置</w:t>
      </w:r>
      <w:r>
        <w:rPr>
          <w:rFonts w:hint="default" w:ascii="Times New Roman" w:hAnsi="Times New Roman" w:eastAsia="黑体" w:cs="Times New Roman"/>
          <w:sz w:val="32"/>
          <w:szCs w:val="32"/>
        </w:rPr>
        <w:t>情况</w:t>
      </w:r>
      <w:bookmarkEnd w:id="34"/>
    </w:p>
    <w:p>
      <w:pPr>
        <w:pStyle w:val="2"/>
        <w:adjustRightInd w:val="0"/>
        <w:spacing w:before="130" w:beforeLines="0" w:line="600" w:lineRule="exact"/>
        <w:ind w:firstLine="672" w:firstLineChars="210"/>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江林小学</w:t>
      </w:r>
      <w:r>
        <w:rPr>
          <w:rFonts w:hint="default" w:ascii="Times New Roman" w:hAnsi="Times New Roman" w:eastAsia="仿宋_GB2312" w:cs="仿宋_GB2312"/>
          <w:kern w:val="0"/>
          <w:sz w:val="32"/>
          <w:szCs w:val="32"/>
          <w:lang w:val="en-US" w:eastAsia="zh-CN" w:bidi="ar-SA"/>
        </w:rPr>
        <w:t>下属二级预算单位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个，其中行政单位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个，参照公务员法管理的事业单位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个，其他事业单位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个。主要包括：</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序号</w:t>
            </w:r>
          </w:p>
        </w:tc>
        <w:tc>
          <w:tcPr>
            <w:tcW w:w="6282"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p>
        </w:tc>
        <w:tc>
          <w:tcPr>
            <w:tcW w:w="6282"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无</w:t>
            </w:r>
          </w:p>
        </w:tc>
      </w:tr>
    </w:tbl>
    <w:p>
      <w:pPr>
        <w:spacing w:line="600" w:lineRule="exact"/>
        <w:ind w:firstLine="640" w:firstLineChars="200"/>
        <w:rPr>
          <w:rFonts w:hint="eastAsia" w:ascii="Times New Roman" w:hAnsi="Times New Roman" w:eastAsia="仿宋_GB2312" w:cs="仿宋_GB2312"/>
          <w:kern w:val="0"/>
          <w:sz w:val="32"/>
          <w:szCs w:val="32"/>
        </w:rPr>
      </w:pPr>
    </w:p>
    <w:p>
      <w:pPr>
        <w:spacing w:line="60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w:t>
      </w:r>
    </w:p>
    <w:p>
      <w:pPr>
        <w:pStyle w:val="6"/>
        <w:widowControl/>
        <w:spacing w:before="0" w:beforeAutospacing="0" w:after="0" w:afterAutospacing="0" w:line="600" w:lineRule="exact"/>
        <w:jc w:val="center"/>
        <w:outlineLvl w:val="0"/>
        <w:rPr>
          <w:rFonts w:ascii="Times New Roman" w:hAnsi="Times New Roman" w:eastAsia="方正小标宋简体" w:cs="方正小标宋简体"/>
          <w:sz w:val="52"/>
          <w:szCs w:val="52"/>
          <w:lang w:bidi="ar"/>
        </w:rPr>
      </w:pPr>
    </w:p>
    <w:p>
      <w:pPr>
        <w:pStyle w:val="6"/>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bookmarkStart w:id="35" w:name="_Toc1691731162_WPSOffice_Level1"/>
      <w:r>
        <w:rPr>
          <w:rFonts w:hint="eastAsia" w:ascii="Times New Roman" w:hAnsi="Times New Roman" w:eastAsia="方正小标宋简体" w:cs="方正小标宋简体"/>
          <w:sz w:val="52"/>
          <w:szCs w:val="52"/>
          <w:lang w:bidi="ar"/>
        </w:rPr>
        <w:t>第二部分 攀枝花市仁和区江林小学</w:t>
      </w:r>
      <w:bookmarkEnd w:id="35"/>
    </w:p>
    <w:p>
      <w:pPr>
        <w:pStyle w:val="6"/>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bookmarkStart w:id="36" w:name="_Toc695279737_WPSOffice_Level2"/>
      <w:r>
        <w:rPr>
          <w:rFonts w:hint="eastAsia" w:ascii="Times New Roman" w:hAnsi="Times New Roman" w:eastAsia="方正小标宋简体" w:cs="方正小标宋简体"/>
          <w:sz w:val="52"/>
          <w:szCs w:val="52"/>
          <w:lang w:bidi="ar"/>
        </w:rPr>
        <w:t>2025年部门预算情况说明</w:t>
      </w:r>
      <w:bookmarkEnd w:id="36"/>
    </w:p>
    <w:p>
      <w:pPr>
        <w:pStyle w:val="6"/>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p>
    <w:p>
      <w:pPr>
        <w:pStyle w:val="6"/>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bookmarkStart w:id="37" w:name="_Toc1582431013_WPSOffice_Level2"/>
      <w:r>
        <w:rPr>
          <w:rFonts w:hint="eastAsia" w:ascii="Times New Roman" w:hAnsi="Times New Roman" w:eastAsia="黑体"/>
          <w:sz w:val="32"/>
          <w:szCs w:val="32"/>
        </w:rPr>
        <w:t>一、收支预算情况说明</w:t>
      </w:r>
      <w:bookmarkEnd w:id="37"/>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综合预算的原则，江林小学所有收入和支出均纳入部门预算管理。江林小学只有一般公共预算拨款收入560.65万元；支出包括：教育支出474.93万元，社会保障和就业支出48.98万元，住房公积金支出36.74万元。2025年收支预算总数560.65万元,比2024年收支预算总数减少43.27万元，主要原因是教育支出减少，社会保障和就业支出减少，住房公积金支出减少。</w:t>
      </w:r>
    </w:p>
    <w:p>
      <w:pPr>
        <w:spacing w:line="580" w:lineRule="exact"/>
        <w:ind w:firstLine="642" w:firstLineChars="200"/>
        <w:outlineLvl w:val="2"/>
        <w:rPr>
          <w:rFonts w:ascii="Times New Roman" w:hAnsi="Times New Roman" w:eastAsia="楷体_GB2312"/>
          <w:b/>
          <w:sz w:val="32"/>
          <w:szCs w:val="32"/>
        </w:rPr>
      </w:pPr>
      <w:bookmarkStart w:id="38" w:name="_Toc695279737_WPSOffice_Level3"/>
      <w:r>
        <w:rPr>
          <w:rFonts w:hint="eastAsia" w:ascii="Times New Roman" w:hAnsi="Times New Roman" w:eastAsia="楷体_GB2312"/>
          <w:b/>
          <w:sz w:val="32"/>
          <w:szCs w:val="32"/>
        </w:rPr>
        <w:t>（一）收入预算情况</w:t>
      </w:r>
      <w:bookmarkEnd w:id="38"/>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江林小学2025年收入预算560.65万元，其中：上年结转0万元，占0%；一般公共预算拨款收入560.65万元，占100%。</w:t>
      </w:r>
    </w:p>
    <w:p>
      <w:pPr>
        <w:spacing w:line="580" w:lineRule="exact"/>
        <w:ind w:firstLine="642" w:firstLineChars="200"/>
        <w:outlineLvl w:val="2"/>
        <w:rPr>
          <w:rFonts w:ascii="Times New Roman" w:hAnsi="Times New Roman" w:eastAsia="楷体_GB2312"/>
          <w:b/>
          <w:sz w:val="32"/>
          <w:szCs w:val="32"/>
        </w:rPr>
      </w:pPr>
      <w:bookmarkStart w:id="39" w:name="_Toc1582431013_WPSOffice_Level3"/>
      <w:r>
        <w:rPr>
          <w:rFonts w:hint="eastAsia" w:ascii="Times New Roman" w:hAnsi="Times New Roman" w:eastAsia="楷体_GB2312"/>
          <w:b/>
          <w:sz w:val="32"/>
          <w:szCs w:val="32"/>
        </w:rPr>
        <w:t>（二）支出预算情况</w:t>
      </w:r>
      <w:bookmarkEnd w:id="39"/>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江林小学2025年支出预算560.65万元，其中：基本支出466.87万元，占83.27%；项目支出93.78万元，占16.73%。</w:t>
      </w:r>
    </w:p>
    <w:p>
      <w:pPr>
        <w:spacing w:line="580" w:lineRule="exact"/>
        <w:ind w:firstLine="640" w:firstLineChars="200"/>
        <w:outlineLvl w:val="1"/>
        <w:rPr>
          <w:rFonts w:hint="eastAsia" w:ascii="Times New Roman" w:hAnsi="Times New Roman" w:eastAsia="黑体"/>
          <w:sz w:val="32"/>
          <w:szCs w:val="32"/>
        </w:rPr>
      </w:pPr>
      <w:bookmarkStart w:id="40" w:name="_Toc1968220052_WPSOffice_Level2"/>
      <w:r>
        <w:rPr>
          <w:rFonts w:hint="eastAsia" w:ascii="Times New Roman" w:hAnsi="Times New Roman" w:eastAsia="黑体"/>
          <w:sz w:val="32"/>
          <w:szCs w:val="32"/>
        </w:rPr>
        <w:t>二、财政拨款收支预算情况说明</w:t>
      </w:r>
      <w:bookmarkEnd w:id="4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财政拨款收支总预算560.65万元。收入包括：本年一般公共预算拨款收入560.65万元；支出包括：教育支出474.93万元，社会保障和就业支出48.98万元，住房公积金支出36.74万元。攀枝花市仁和区江林小学2025年收支总预算560.65万元。</w:t>
      </w:r>
    </w:p>
    <w:p>
      <w:pPr>
        <w:spacing w:line="580" w:lineRule="exact"/>
        <w:ind w:firstLine="640" w:firstLineChars="200"/>
        <w:outlineLvl w:val="1"/>
        <w:rPr>
          <w:rFonts w:hint="eastAsia" w:ascii="Times New Roman" w:hAnsi="Times New Roman" w:eastAsia="黑体"/>
          <w:sz w:val="32"/>
          <w:szCs w:val="32"/>
        </w:rPr>
      </w:pPr>
      <w:bookmarkStart w:id="41" w:name="_Toc113908651_WPSOffice_Level2"/>
      <w:r>
        <w:rPr>
          <w:rFonts w:hint="eastAsia" w:ascii="Times New Roman" w:hAnsi="Times New Roman" w:eastAsia="黑体"/>
          <w:sz w:val="32"/>
          <w:szCs w:val="32"/>
        </w:rPr>
        <w:t>三、一般公共预算当年拨款情况说明</w:t>
      </w:r>
      <w:bookmarkEnd w:id="41"/>
    </w:p>
    <w:p>
      <w:pPr>
        <w:spacing w:line="580" w:lineRule="exact"/>
        <w:ind w:firstLine="642" w:firstLineChars="200"/>
        <w:outlineLvl w:val="2"/>
        <w:rPr>
          <w:rFonts w:ascii="Times New Roman" w:hAnsi="Times New Roman" w:eastAsia="楷体_GB2312"/>
          <w:b/>
          <w:sz w:val="32"/>
          <w:szCs w:val="32"/>
        </w:rPr>
      </w:pPr>
      <w:bookmarkStart w:id="42" w:name="_Toc1968220052_WPSOffice_Level3"/>
      <w:r>
        <w:rPr>
          <w:rFonts w:hint="eastAsia" w:ascii="Times New Roman" w:hAnsi="Times New Roman" w:eastAsia="楷体_GB2312"/>
          <w:b/>
          <w:sz w:val="32"/>
          <w:szCs w:val="32"/>
        </w:rPr>
        <w:t>（一）一般公共预算当年拨款规模变化情况</w:t>
      </w:r>
      <w:bookmarkEnd w:id="42"/>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江林小学2025年一般公共预算当年拨款560.65万元,比</w:t>
      </w:r>
      <w:bookmarkStart w:id="43" w:name="_Hlk189909189"/>
      <w:r>
        <w:rPr>
          <w:rFonts w:hint="eastAsia" w:ascii="Times New Roman" w:hAnsi="Times New Roman" w:eastAsia="仿宋_GB2312"/>
          <w:sz w:val="32"/>
          <w:szCs w:val="32"/>
        </w:rPr>
        <w:t>2024年收支预算总数减少43.27万元，主要原因是教育支出减少，社会保障和就业支出减少，住房公积金支出减少。</w:t>
      </w:r>
      <w:bookmarkEnd w:id="43"/>
    </w:p>
    <w:p>
      <w:pPr>
        <w:spacing w:line="580" w:lineRule="exact"/>
        <w:ind w:firstLine="642" w:firstLineChars="200"/>
        <w:outlineLvl w:val="2"/>
        <w:rPr>
          <w:rFonts w:ascii="Times New Roman" w:hAnsi="Times New Roman" w:eastAsia="楷体_GB2312"/>
          <w:b/>
          <w:sz w:val="32"/>
          <w:szCs w:val="32"/>
        </w:rPr>
      </w:pPr>
      <w:bookmarkStart w:id="44" w:name="_Toc113908651_WPSOffice_Level3"/>
      <w:r>
        <w:rPr>
          <w:rFonts w:hint="eastAsia" w:ascii="Times New Roman" w:hAnsi="Times New Roman" w:eastAsia="楷体_GB2312"/>
          <w:b/>
          <w:sz w:val="32"/>
          <w:szCs w:val="32"/>
        </w:rPr>
        <w:t>（二）一般公共预算当年拨款结构情况</w:t>
      </w:r>
      <w:bookmarkEnd w:id="4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教育支出474.93万元占84.71%，社会保障和就业支出48.98万元占8.74%，住房公积金支出36.74万元占6.55%。</w:t>
      </w:r>
    </w:p>
    <w:p>
      <w:pPr>
        <w:spacing w:line="580" w:lineRule="exact"/>
        <w:ind w:firstLine="642" w:firstLineChars="200"/>
        <w:outlineLvl w:val="2"/>
        <w:rPr>
          <w:rFonts w:ascii="Times New Roman" w:hAnsi="Times New Roman" w:eastAsia="楷体_GB2312"/>
          <w:b/>
          <w:sz w:val="32"/>
          <w:szCs w:val="32"/>
        </w:rPr>
      </w:pPr>
      <w:bookmarkStart w:id="45" w:name="_Toc1253489852_WPSOffice_Level3"/>
      <w:r>
        <w:rPr>
          <w:rFonts w:hint="eastAsia" w:ascii="Times New Roman" w:hAnsi="Times New Roman" w:eastAsia="楷体_GB2312"/>
          <w:b/>
          <w:sz w:val="32"/>
          <w:szCs w:val="32"/>
        </w:rPr>
        <w:t>（三）一般公共预算当年拨款具体使用情况</w:t>
      </w:r>
      <w:bookmarkEnd w:id="4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一般公共服务（类）人大事务（款）行政运行（项）2025年预算数为560.65万元，主要用于：</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1.（2050202）小学教育474.93万元。具体支出包括：</w:t>
      </w:r>
    </w:p>
    <w:p>
      <w:pPr>
        <w:spacing w:line="580" w:lineRule="exact"/>
        <w:ind w:firstLine="640" w:firstLineChars="200"/>
        <w:rPr>
          <w:rFonts w:ascii="Times New Roman" w:hAnsi="Times New Roman" w:eastAsia="仿宋_GB2312"/>
          <w:sz w:val="32"/>
          <w:szCs w:val="32"/>
        </w:rPr>
      </w:pPr>
      <w:r>
        <w:rPr>
          <w:rFonts w:hint="cs" w:ascii="Times New Roman" w:hAnsi="Times New Roman" w:eastAsia="仿宋_GB2312"/>
          <w:sz w:val="32"/>
          <w:szCs w:val="32"/>
        </w:rPr>
        <w:t> </w:t>
      </w:r>
      <w:r>
        <w:rPr>
          <w:rFonts w:hint="eastAsia" w:ascii="Times New Roman" w:hAnsi="Times New Roman" w:eastAsia="仿宋_GB2312"/>
          <w:sz w:val="32"/>
          <w:szCs w:val="32"/>
        </w:rPr>
        <w:t>工资福利支出436.78万元；</w:t>
      </w:r>
    </w:p>
    <w:p>
      <w:pPr>
        <w:spacing w:line="580" w:lineRule="exact"/>
        <w:ind w:firstLine="640" w:firstLineChars="200"/>
        <w:rPr>
          <w:rFonts w:ascii="Times New Roman" w:hAnsi="Times New Roman" w:eastAsia="仿宋_GB2312"/>
          <w:sz w:val="32"/>
          <w:szCs w:val="32"/>
        </w:rPr>
      </w:pPr>
      <w:r>
        <w:rPr>
          <w:rFonts w:hint="cs" w:ascii="Times New Roman" w:hAnsi="Times New Roman" w:eastAsia="仿宋_GB2312"/>
          <w:sz w:val="32"/>
          <w:szCs w:val="32"/>
        </w:rPr>
        <w:t> </w:t>
      </w:r>
      <w:r>
        <w:rPr>
          <w:rFonts w:hint="eastAsia" w:ascii="Times New Roman" w:hAnsi="Times New Roman" w:eastAsia="仿宋_GB2312"/>
          <w:sz w:val="32"/>
          <w:szCs w:val="32"/>
        </w:rPr>
        <w:t>商品和服务支出76.8万元；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对个人和家庭的补助47.06万元；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2.（2080505）机关事业单位基本养老保险缴费支出48.98万元。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3.（2210201）住房公积金支出36.73万元。</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4.（2050999）其他教育费附加安排的支出33.83万元。具体是 ： 聘用零工和保安工资23.4万元，  心理健康教育专项教育经费</w:t>
      </w:r>
      <w:r>
        <w:rPr>
          <w:rFonts w:hint="eastAsia" w:ascii="Times New Roman" w:hAnsi="Times New Roman" w:eastAsia="仿宋_GB2312"/>
          <w:sz w:val="32"/>
          <w:szCs w:val="32"/>
        </w:rPr>
        <w:tab/>
      </w:r>
      <w:r>
        <w:rPr>
          <w:rFonts w:hint="eastAsia" w:ascii="Times New Roman" w:hAnsi="Times New Roman" w:eastAsia="仿宋_GB2312"/>
          <w:sz w:val="32"/>
          <w:szCs w:val="32"/>
        </w:rPr>
        <w:t>1.00万元，学校2025年维修维护费7.88万元，  2025年学生作业本费0.43万元，农村义务教育学生营养餐改善计划（区级）</w:t>
      </w:r>
      <w:r>
        <w:rPr>
          <w:rFonts w:hint="eastAsia" w:ascii="Times New Roman" w:hAnsi="Times New Roman" w:eastAsia="仿宋_GB2312"/>
          <w:sz w:val="32"/>
          <w:szCs w:val="32"/>
        </w:rPr>
        <w:tab/>
      </w:r>
      <w:r>
        <w:rPr>
          <w:rFonts w:hint="eastAsia" w:ascii="Times New Roman" w:hAnsi="Times New Roman" w:eastAsia="仿宋_GB2312"/>
          <w:sz w:val="32"/>
          <w:szCs w:val="32"/>
        </w:rPr>
        <w:t>1.49万元。</w:t>
      </w:r>
    </w:p>
    <w:p>
      <w:pPr>
        <w:spacing w:line="580" w:lineRule="exact"/>
        <w:ind w:firstLine="640" w:firstLineChars="200"/>
        <w:outlineLvl w:val="1"/>
        <w:rPr>
          <w:rFonts w:ascii="Times New Roman" w:hAnsi="Times New Roman" w:eastAsia="黑体"/>
          <w:sz w:val="32"/>
          <w:szCs w:val="32"/>
        </w:rPr>
      </w:pPr>
      <w:bookmarkStart w:id="46" w:name="_Toc1253489852_WPSOffice_Level2"/>
      <w:r>
        <w:rPr>
          <w:rFonts w:hint="eastAsia" w:ascii="Times New Roman" w:hAnsi="Times New Roman" w:eastAsia="黑体"/>
          <w:sz w:val="32"/>
          <w:szCs w:val="32"/>
        </w:rPr>
        <w:t>四、一般公共预算基本支出情况说明</w:t>
      </w:r>
      <w:bookmarkEnd w:id="4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江林小学2025年一般公共预算基本支出</w:t>
      </w:r>
      <w:r>
        <w:rPr>
          <w:rFonts w:ascii="Times New Roman" w:hAnsi="Times New Roman" w:eastAsia="仿宋_GB2312"/>
          <w:sz w:val="32"/>
          <w:szCs w:val="32"/>
        </w:rPr>
        <w:t>560</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5万元，其中：</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w:t>
      </w:r>
      <w:r>
        <w:rPr>
          <w:rFonts w:ascii="Times New Roman" w:hAnsi="Times New Roman" w:eastAsia="仿宋_GB2312"/>
          <w:sz w:val="32"/>
          <w:szCs w:val="32"/>
        </w:rPr>
        <w:t>483</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5万元，主要包括：基本工资</w:t>
      </w:r>
      <w:r>
        <w:rPr>
          <w:rFonts w:ascii="Times New Roman" w:hAnsi="Times New Roman" w:eastAsia="仿宋_GB2312"/>
          <w:sz w:val="32"/>
          <w:szCs w:val="32"/>
        </w:rPr>
        <w:t>118</w:t>
      </w:r>
      <w:r>
        <w:rPr>
          <w:rFonts w:hint="eastAsia" w:ascii="Times New Roman" w:hAnsi="Times New Roman" w:eastAsia="仿宋_GB2312"/>
          <w:sz w:val="32"/>
          <w:szCs w:val="32"/>
        </w:rPr>
        <w:t>.</w:t>
      </w:r>
      <w:r>
        <w:rPr>
          <w:rFonts w:ascii="Times New Roman" w:hAnsi="Times New Roman" w:eastAsia="仿宋_GB2312"/>
          <w:sz w:val="32"/>
          <w:szCs w:val="32"/>
        </w:rPr>
        <w:t>03</w:t>
      </w:r>
      <w:r>
        <w:rPr>
          <w:rFonts w:hint="eastAsia" w:ascii="Times New Roman" w:hAnsi="Times New Roman" w:eastAsia="仿宋_GB2312"/>
          <w:sz w:val="32"/>
          <w:szCs w:val="32"/>
        </w:rPr>
        <w:t>万元、津贴补贴</w:t>
      </w:r>
      <w:r>
        <w:rPr>
          <w:rFonts w:ascii="Times New Roman" w:hAnsi="Times New Roman" w:eastAsia="仿宋_GB2312"/>
          <w:sz w:val="32"/>
          <w:szCs w:val="32"/>
        </w:rPr>
        <w:t>39</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4万元、绩效工资</w:t>
      </w:r>
      <w:r>
        <w:rPr>
          <w:rFonts w:ascii="Times New Roman" w:hAnsi="Times New Roman" w:eastAsia="仿宋_GB2312"/>
          <w:sz w:val="32"/>
          <w:szCs w:val="32"/>
        </w:rPr>
        <w:t>148</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仿宋_GB2312"/>
          <w:sz w:val="32"/>
          <w:szCs w:val="32"/>
        </w:rPr>
        <w:t>万元、住房公积金</w:t>
      </w:r>
      <w:r>
        <w:rPr>
          <w:rFonts w:ascii="Times New Roman" w:hAnsi="Times New Roman" w:eastAsia="仿宋_GB2312"/>
          <w:sz w:val="32"/>
          <w:szCs w:val="32"/>
        </w:rPr>
        <w:t>36</w:t>
      </w:r>
      <w:r>
        <w:rPr>
          <w:rFonts w:hint="eastAsia" w:ascii="Times New Roman" w:hAnsi="Times New Roman" w:eastAsia="仿宋_GB2312"/>
          <w:sz w:val="32"/>
          <w:szCs w:val="32"/>
        </w:rPr>
        <w:t>.</w:t>
      </w:r>
      <w:r>
        <w:rPr>
          <w:rFonts w:ascii="Times New Roman" w:hAnsi="Times New Roman" w:eastAsia="仿宋_GB2312"/>
          <w:sz w:val="32"/>
          <w:szCs w:val="32"/>
        </w:rPr>
        <w:t>73</w:t>
      </w:r>
      <w:r>
        <w:rPr>
          <w:rFonts w:hint="eastAsia" w:ascii="Times New Roman" w:hAnsi="Times New Roman" w:eastAsia="仿宋_GB2312"/>
          <w:sz w:val="32"/>
          <w:szCs w:val="32"/>
        </w:rPr>
        <w:t>万元、养老保险金</w:t>
      </w:r>
      <w:r>
        <w:rPr>
          <w:rFonts w:ascii="Times New Roman" w:hAnsi="Times New Roman" w:eastAsia="仿宋_GB2312"/>
          <w:sz w:val="32"/>
          <w:szCs w:val="32"/>
        </w:rPr>
        <w:t>48</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8万元、奖金0.012万元、社会保险缴费</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9万元、医疗补助</w:t>
      </w:r>
      <w:r>
        <w:rPr>
          <w:rFonts w:ascii="Times New Roman" w:hAnsi="Times New Roman" w:eastAsia="仿宋_GB2312"/>
          <w:sz w:val="32"/>
          <w:szCs w:val="32"/>
        </w:rPr>
        <w:t>17</w:t>
      </w:r>
      <w:r>
        <w:rPr>
          <w:rFonts w:hint="eastAsia" w:ascii="Times New Roman" w:hAnsi="Times New Roman" w:eastAsia="仿宋_GB2312"/>
          <w:sz w:val="32"/>
          <w:szCs w:val="32"/>
        </w:rPr>
        <w:t>.1万元、基本医疗保险</w:t>
      </w:r>
      <w:r>
        <w:rPr>
          <w:rFonts w:ascii="Times New Roman" w:hAnsi="Times New Roman" w:eastAsia="仿宋_GB2312"/>
          <w:sz w:val="32"/>
          <w:szCs w:val="32"/>
        </w:rPr>
        <w:t>23</w:t>
      </w:r>
      <w:r>
        <w:rPr>
          <w:rFonts w:hint="eastAsia" w:ascii="Times New Roman" w:hAnsi="Times New Roman" w:eastAsia="仿宋_GB2312"/>
          <w:sz w:val="32"/>
          <w:szCs w:val="32"/>
        </w:rPr>
        <w:t>.</w:t>
      </w:r>
      <w:r>
        <w:rPr>
          <w:rFonts w:ascii="Times New Roman" w:hAnsi="Times New Roman" w:eastAsia="仿宋_GB2312"/>
          <w:sz w:val="32"/>
          <w:szCs w:val="32"/>
        </w:rPr>
        <w:t>57</w:t>
      </w:r>
      <w:r>
        <w:rPr>
          <w:rFonts w:hint="eastAsia" w:ascii="Times New Roman" w:hAnsi="Times New Roman" w:eastAsia="仿宋_GB2312"/>
          <w:sz w:val="32"/>
          <w:szCs w:val="32"/>
        </w:rPr>
        <w:t>万元和其他对个人和家庭的补助</w:t>
      </w:r>
      <w:r>
        <w:rPr>
          <w:rFonts w:ascii="Times New Roman" w:hAnsi="Times New Roman" w:eastAsia="仿宋_GB2312"/>
          <w:sz w:val="32"/>
          <w:szCs w:val="32"/>
        </w:rPr>
        <w:t>34</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主要是营养餐和退休人员经费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公用经费</w:t>
      </w:r>
      <w:r>
        <w:rPr>
          <w:rFonts w:ascii="Times New Roman" w:hAnsi="Times New Roman" w:eastAsia="仿宋_GB2312"/>
          <w:sz w:val="32"/>
          <w:szCs w:val="32"/>
        </w:rPr>
        <w:t>76</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万元，主要包括：水费3万元、电费6万元、差旅费2万元、邮电费2万元、工会经费</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万元、福利费</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54</w:t>
      </w:r>
      <w:r>
        <w:rPr>
          <w:rFonts w:hint="eastAsia" w:ascii="Times New Roman" w:hAnsi="Times New Roman" w:eastAsia="仿宋_GB2312"/>
          <w:sz w:val="32"/>
          <w:szCs w:val="32"/>
        </w:rPr>
        <w:t>万元、办公费</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51</w:t>
      </w:r>
      <w:r>
        <w:rPr>
          <w:rFonts w:hint="eastAsia" w:ascii="Times New Roman" w:hAnsi="Times New Roman" w:eastAsia="仿宋_GB2312"/>
          <w:sz w:val="32"/>
          <w:szCs w:val="32"/>
        </w:rPr>
        <w:t>万元、其他商品服务费</w:t>
      </w:r>
      <w:r>
        <w:rPr>
          <w:rFonts w:ascii="Times New Roman" w:hAnsi="Times New Roman" w:eastAsia="仿宋_GB2312"/>
          <w:sz w:val="32"/>
          <w:szCs w:val="32"/>
        </w:rPr>
        <w:t>13</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万元。</w:t>
      </w:r>
    </w:p>
    <w:p>
      <w:pPr>
        <w:spacing w:line="580" w:lineRule="exact"/>
        <w:ind w:firstLine="640" w:firstLineChars="200"/>
        <w:outlineLvl w:val="1"/>
        <w:rPr>
          <w:rFonts w:hint="eastAsia" w:ascii="Times New Roman" w:hAnsi="Times New Roman" w:eastAsia="黑体"/>
          <w:sz w:val="32"/>
          <w:szCs w:val="32"/>
        </w:rPr>
      </w:pPr>
      <w:bookmarkStart w:id="47" w:name="_Toc1345583226_WPSOffice_Level2"/>
      <w:r>
        <w:rPr>
          <w:rFonts w:hint="eastAsia" w:ascii="Times New Roman" w:hAnsi="Times New Roman" w:eastAsia="黑体"/>
          <w:sz w:val="32"/>
          <w:szCs w:val="32"/>
        </w:rPr>
        <w:t>五、“三公”经费财政拨款预算安排情况说明</w:t>
      </w:r>
      <w:bookmarkEnd w:id="47"/>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三公”经费财政拨款预算数0万元，其中：公务接待费0万元，公务用车购置及运行维护费0万元。根据工作统一安排，2025年市本级年初部门预算暂不编列因公出国（境）经费。执行中，市级部门确需执行出国（境）任务和计划的，按照“一事一议”的方式按程序报市政府批后安排经费。</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江林小学2025年没有使用财政拨款安排“三公”经费预算。</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楷体_GB2312"/>
          <w:b/>
          <w:sz w:val="32"/>
          <w:szCs w:val="32"/>
        </w:rPr>
        <w:t>（一）</w:t>
      </w:r>
      <w:r>
        <w:rPr>
          <w:rFonts w:hint="eastAsia" w:ascii="Times New Roman" w:hAnsi="Times New Roman" w:eastAsia="仿宋_GB2312"/>
          <w:b/>
          <w:bCs/>
          <w:sz w:val="32"/>
          <w:szCs w:val="32"/>
        </w:rPr>
        <w:t>公务接待费与2024年预算持平。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2" w:firstLineChars="200"/>
        <w:outlineLvl w:val="1"/>
        <w:rPr>
          <w:rFonts w:ascii="Times New Roman" w:hAnsi="Times New Roman" w:eastAsia="仿宋_GB2312"/>
          <w:sz w:val="32"/>
          <w:szCs w:val="32"/>
        </w:rPr>
      </w:pPr>
      <w:r>
        <w:rPr>
          <w:rFonts w:hint="eastAsia" w:ascii="Times New Roman" w:hAnsi="Times New Roman" w:eastAsia="仿宋_GB2312"/>
          <w:b/>
          <w:bCs/>
          <w:sz w:val="32"/>
          <w:szCs w:val="32"/>
        </w:rPr>
        <w:t>（二）公务用车购置及运行维护费与2024年预算持平。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2025年安排公务用车购置费0万元，拟购置公务用车0辆，其中：轿车0辆，旅行车（含商务车）0辆，越野车0辆，大型客、货车0辆。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 xml:space="preserve">2025年安排公务用车运行维护费0万元，用于0辆公务用车燃油、维修、保险等方面支出. </w:t>
      </w:r>
    </w:p>
    <w:p>
      <w:pPr>
        <w:spacing w:line="580" w:lineRule="exact"/>
        <w:ind w:firstLine="640" w:firstLineChars="200"/>
        <w:outlineLvl w:val="1"/>
        <w:rPr>
          <w:rFonts w:hint="eastAsia" w:ascii="Times New Roman" w:hAnsi="Times New Roman" w:eastAsia="黑体"/>
          <w:sz w:val="32"/>
          <w:szCs w:val="32"/>
        </w:rPr>
      </w:pPr>
      <w:bookmarkStart w:id="48" w:name="_Toc1339718767_WPSOffice_Level2"/>
      <w:r>
        <w:rPr>
          <w:rFonts w:hint="eastAsia" w:ascii="Times New Roman" w:hAnsi="Times New Roman" w:eastAsia="黑体"/>
          <w:sz w:val="32"/>
          <w:szCs w:val="32"/>
        </w:rPr>
        <w:t>六、非财政拨款预算安排“三公”经费情况说明</w:t>
      </w:r>
      <w:bookmarkEnd w:id="48"/>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非财政拨款“三公”经费预算数0万元，其中：公务接待费0万元，公务用车购置及运行维护费0万元。根据工作统一安排，2025年市本级年初部门预算暂未编列非财政拨款安排的因公出国（境）经费。执行中，市级部门确需执行出国（境）任务和计划的，且经费来源为非财政拨款的，按照“一事一议”的方式按程序报市政府审批。</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江林小学2025年没有使用非财政拨款安排“三公”经费预算。</w:t>
      </w:r>
    </w:p>
    <w:p>
      <w:pPr>
        <w:spacing w:line="580" w:lineRule="exact"/>
        <w:ind w:firstLine="640"/>
        <w:rPr>
          <w:rFonts w:hint="eastAsia" w:ascii="楷体_GB2312" w:hAnsi="楷体_GB2312" w:eastAsia="楷体_GB2312" w:cs="楷体_GB2312"/>
          <w:b/>
          <w:bCs/>
          <w:sz w:val="32"/>
          <w:szCs w:val="32"/>
        </w:rPr>
      </w:pPr>
      <w:bookmarkStart w:id="49" w:name="_Toc1345583226_WPSOffice_Level3"/>
      <w:r>
        <w:rPr>
          <w:rFonts w:hint="eastAsia" w:ascii="楷体_GB2312" w:hAnsi="楷体_GB2312" w:eastAsia="楷体_GB2312" w:cs="楷体_GB2312"/>
          <w:b/>
          <w:bCs/>
          <w:sz w:val="32"/>
          <w:szCs w:val="32"/>
        </w:rPr>
        <w:t>（一）非财政拨款安排公务接待费情况说明</w:t>
      </w:r>
      <w:bookmarkEnd w:id="49"/>
    </w:p>
    <w:p>
      <w:pPr>
        <w:spacing w:line="580" w:lineRule="exact"/>
        <w:ind w:firstLine="640"/>
        <w:rPr>
          <w:rFonts w:hint="eastAsia" w:ascii="Times New Roman" w:hAnsi="Times New Roman" w:eastAsia="黑体"/>
          <w:b/>
          <w:sz w:val="32"/>
          <w:szCs w:val="32"/>
        </w:rPr>
      </w:pPr>
      <w:r>
        <w:rPr>
          <w:rFonts w:hint="eastAsia" w:ascii="Times New Roman" w:hAnsi="Times New Roman" w:eastAsia="仿宋_GB2312"/>
          <w:sz w:val="32"/>
          <w:szCs w:val="32"/>
        </w:rPr>
        <w:t>2024年非财政拨款安排公务接待费与2024年预算持平。主要原因是因2025年市直属学校预算管理改革，学校教育收费编入财政专户预算进行综合管理，学校公务接待费由教育收费承担。由于2025年为首次编制专户预算，故无法与上年度预算进行比较。</w:t>
      </w:r>
    </w:p>
    <w:p>
      <w:pPr>
        <w:spacing w:line="580" w:lineRule="exact"/>
        <w:ind w:firstLine="640" w:firstLineChars="200"/>
      </w:pPr>
      <w:r>
        <w:rPr>
          <w:rFonts w:hint="eastAsia" w:ascii="Times New Roman" w:hAnsi="Times New Roman" w:eastAsia="仿宋_GB2312"/>
          <w:sz w:val="32"/>
          <w:szCs w:val="32"/>
        </w:rPr>
        <w:t>2025年非财政拨款安排公务接待费与2024年预算持平</w:t>
      </w:r>
      <w:r>
        <w:rPr>
          <w:rFonts w:hint="eastAsia" w:ascii="Times New Roman" w:hAnsi="Times New Roman" w:eastAsia="楷体_GB2312"/>
          <w:b/>
          <w:sz w:val="32"/>
          <w:szCs w:val="32"/>
        </w:rPr>
        <w:t>。</w:t>
      </w:r>
      <w:r>
        <w:rPr>
          <w:rFonts w:hint="eastAsia" w:ascii="Times New Roman" w:hAnsi="Times New Roman" w:eastAsia="仿宋_GB2312"/>
          <w:sz w:val="32"/>
          <w:szCs w:val="32"/>
        </w:rPr>
        <w:t>主要原因是没有使用非财政拨款安排“三公”经费预算。</w:t>
      </w:r>
    </w:p>
    <w:p>
      <w:pPr>
        <w:spacing w:line="580" w:lineRule="exact"/>
        <w:ind w:firstLine="640"/>
        <w:rPr>
          <w:rFonts w:hint="eastAsia" w:ascii="Times New Roman" w:hAnsi="Times New Roman" w:eastAsia="仿宋_GB2312"/>
          <w:sz w:val="32"/>
          <w:szCs w:val="32"/>
        </w:rPr>
      </w:pPr>
      <w:bookmarkStart w:id="50" w:name="_Toc1339718767_WPSOffice_Level3"/>
      <w:r>
        <w:rPr>
          <w:rFonts w:hint="eastAsia" w:ascii="楷体_GB2312" w:hAnsi="楷体_GB2312" w:eastAsia="楷体_GB2312" w:cs="楷体_GB2312"/>
          <w:b/>
          <w:bCs/>
          <w:sz w:val="32"/>
          <w:szCs w:val="32"/>
        </w:rPr>
        <w:t>（二）非财政拨款安排</w:t>
      </w:r>
      <w:r>
        <w:rPr>
          <w:rFonts w:hint="eastAsia" w:ascii="Times New Roman" w:hAnsi="Times New Roman" w:eastAsia="楷体_GB2312"/>
          <w:b/>
          <w:sz w:val="32"/>
          <w:szCs w:val="32"/>
        </w:rPr>
        <w:t>公务用车购置及运行维护费</w:t>
      </w:r>
      <w:r>
        <w:rPr>
          <w:rFonts w:hint="eastAsia" w:ascii="楷体_GB2312" w:hAnsi="楷体_GB2312" w:eastAsia="楷体_GB2312" w:cs="楷体_GB2312"/>
          <w:b/>
          <w:bCs/>
          <w:sz w:val="32"/>
          <w:szCs w:val="32"/>
        </w:rPr>
        <w:t>情况说明</w:t>
      </w:r>
      <w:bookmarkEnd w:id="50"/>
    </w:p>
    <w:p>
      <w:pPr>
        <w:spacing w:line="580" w:lineRule="exact"/>
        <w:ind w:firstLine="640"/>
        <w:rPr>
          <w:rFonts w:hint="eastAsia" w:ascii="Times New Roman" w:hAnsi="Times New Roman" w:eastAsia="黑体"/>
          <w:b/>
          <w:sz w:val="32"/>
          <w:szCs w:val="32"/>
          <w:u w:val="single"/>
        </w:rPr>
      </w:pPr>
      <w:r>
        <w:rPr>
          <w:rFonts w:hint="eastAsia" w:ascii="楷体_GB2312" w:hAnsi="楷体_GB2312" w:eastAsia="楷体_GB2312" w:cs="楷体_GB2312"/>
          <w:b/>
          <w:bCs/>
          <w:sz w:val="32"/>
          <w:szCs w:val="32"/>
        </w:rPr>
        <w:t>非财政拨款安排</w:t>
      </w:r>
      <w:r>
        <w:rPr>
          <w:rFonts w:hint="eastAsia" w:ascii="Times New Roman" w:hAnsi="Times New Roman" w:eastAsia="楷体_GB2312"/>
          <w:b/>
          <w:sz w:val="32"/>
          <w:szCs w:val="32"/>
        </w:rPr>
        <w:t>公务用车购置及运行维护费较2024年预算持平。</w:t>
      </w:r>
      <w:r>
        <w:rPr>
          <w:rFonts w:hint="eastAsia" w:ascii="Times New Roman" w:hAnsi="Times New Roman" w:eastAsia="仿宋_GB2312"/>
          <w:sz w:val="32"/>
          <w:szCs w:val="32"/>
        </w:rPr>
        <w:t>主要原因是因2025年市直属学校预算管理改革，学校教育收费编入财政专户预算进行综合管理，学校公务用车购置及运行维护费由教育收费承担。由于2025年为首次编制专户预算，故无法与上年度预算进行比较。</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公务用车购置费0万元，拟购置公务用车0辆，其中：轿车0辆，旅行车（含商务车）0辆，越野车0辆，大型客、货车0辆。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公务用车运行维护费0万元，用于0辆公务用车燃油、维修、保险等方面支出。</w:t>
      </w:r>
    </w:p>
    <w:p>
      <w:pPr>
        <w:pStyle w:val="6"/>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1" w:name="_Toc1809298594_WPSOffice_Level2"/>
      <w:r>
        <w:rPr>
          <w:rFonts w:hint="eastAsia" w:ascii="Times New Roman" w:hAnsi="Times New Roman" w:eastAsia="黑体"/>
          <w:kern w:val="2"/>
          <w:sz w:val="32"/>
          <w:szCs w:val="32"/>
        </w:rPr>
        <w:t>七、政府性基金预算支出情况说明</w:t>
      </w:r>
      <w:bookmarkEnd w:id="51"/>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江林小学2025年政府性基金预算支出0万元，其中：基本支出0万元，项目支出0万元。</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江林小学2025年没有使用政府性基金预算拨款安排的支出。</w:t>
      </w:r>
    </w:p>
    <w:p>
      <w:pPr>
        <w:pStyle w:val="6"/>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2" w:name="_Toc1995571256_WPSOffice_Level2"/>
      <w:r>
        <w:rPr>
          <w:rFonts w:hint="eastAsia" w:ascii="Times New Roman" w:hAnsi="Times New Roman" w:eastAsia="黑体"/>
          <w:kern w:val="2"/>
          <w:sz w:val="32"/>
          <w:szCs w:val="32"/>
        </w:rPr>
        <w:t>八、国有资本经营预算情况说明</w:t>
      </w:r>
      <w:bookmarkEnd w:id="52"/>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江林小学2025年国有资本经营预算支出0万元，其中：基本支出0万元，项目支出0万元。</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江林小学2025没有使用国有资本经营预算拨款安排的支出。</w:t>
      </w:r>
    </w:p>
    <w:p>
      <w:pPr>
        <w:pStyle w:val="6"/>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3" w:name="_Toc1104585435_WPSOffice_Level2"/>
      <w:r>
        <w:rPr>
          <w:rFonts w:hint="eastAsia" w:ascii="Times New Roman" w:hAnsi="Times New Roman" w:eastAsia="黑体"/>
          <w:kern w:val="2"/>
          <w:sz w:val="32"/>
          <w:szCs w:val="32"/>
        </w:rPr>
        <w:t>九、其他重要事项的情况说明</w:t>
      </w:r>
      <w:bookmarkEnd w:id="53"/>
    </w:p>
    <w:p>
      <w:pPr>
        <w:spacing w:line="580" w:lineRule="exact"/>
        <w:ind w:firstLine="642" w:firstLineChars="200"/>
        <w:outlineLvl w:val="2"/>
        <w:rPr>
          <w:rFonts w:hint="eastAsia" w:ascii="Times New Roman" w:hAnsi="Times New Roman" w:eastAsia="楷体_GB2312"/>
          <w:b/>
          <w:sz w:val="32"/>
          <w:szCs w:val="32"/>
        </w:rPr>
      </w:pPr>
      <w:bookmarkStart w:id="54" w:name="_Toc1809298594_WPSOffice_Level3"/>
      <w:r>
        <w:rPr>
          <w:rFonts w:hint="eastAsia" w:ascii="Times New Roman" w:hAnsi="Times New Roman" w:eastAsia="楷体_GB2312"/>
          <w:b/>
          <w:sz w:val="32"/>
          <w:szCs w:val="32"/>
        </w:rPr>
        <w:t>（一）机关运行经费情况</w:t>
      </w:r>
      <w:bookmarkEnd w:id="54"/>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2025年，江林小学的机关运行经费财政拨款预算为0万元。</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江林小学为事业单位，按规定未使用机关运行的相关科目。机关运行经费具体口径：为保障行政单位（包括参照公务员法管理事业单位）运行用于购买货物和服务的各项资金，包括办公及印刷费、邮电费、差旅费、会议费、福利费、日常维护费、专用材料及一般设备购置费、办公用房水电费、办公用房取暖费、办公用房物业管理费、公务用车运行维护以及其他费用。</w:t>
      </w:r>
    </w:p>
    <w:p>
      <w:pPr>
        <w:pStyle w:val="6"/>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5" w:name="_Toc1995571256_WPSOffice_Level3"/>
      <w:r>
        <w:rPr>
          <w:rFonts w:hint="eastAsia" w:ascii="Times New Roman" w:hAnsi="Times New Roman" w:eastAsia="仿宋_GB2312"/>
          <w:b/>
          <w:bCs/>
          <w:sz w:val="32"/>
          <w:szCs w:val="32"/>
        </w:rPr>
        <w:t>（二）政府采购情况</w:t>
      </w:r>
      <w:bookmarkEnd w:id="55"/>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2025年，江林小学安排政府采购预算0万元，其中，政府采购货物预算0万元；政府采购工程预算0万元；政府采购服务预算0万元。</w:t>
      </w:r>
    </w:p>
    <w:p>
      <w:pPr>
        <w:spacing w:line="580" w:lineRule="exact"/>
        <w:ind w:firstLine="640" w:firstLineChars="200"/>
        <w:rPr>
          <w:rFonts w:hint="eastAsia" w:ascii="Times New Roman" w:hAnsi="Times New Roman" w:eastAsia="楷体_GB2312"/>
          <w:b/>
          <w:sz w:val="32"/>
          <w:szCs w:val="32"/>
        </w:rPr>
      </w:pPr>
      <w:r>
        <w:rPr>
          <w:rFonts w:hint="eastAsia" w:ascii="Times New Roman" w:hAnsi="Times New Roman" w:eastAsia="仿宋_GB2312"/>
          <w:sz w:val="32"/>
          <w:szCs w:val="32"/>
        </w:rPr>
        <w:t>江林小学2025年无政府采购项目，未安排政府采购预算。</w:t>
      </w:r>
    </w:p>
    <w:p>
      <w:pPr>
        <w:pStyle w:val="6"/>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6" w:name="_Toc1104585435_WPSOffice_Level3"/>
      <w:r>
        <w:rPr>
          <w:rFonts w:hint="eastAsia" w:ascii="Times New Roman" w:hAnsi="Times New Roman" w:eastAsia="仿宋_GB2312"/>
          <w:b/>
          <w:bCs/>
          <w:sz w:val="32"/>
          <w:szCs w:val="32"/>
        </w:rPr>
        <w:t>（三）国有资产占有使用情况</w:t>
      </w:r>
      <w:bookmarkEnd w:id="56"/>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截至2024年底，江林小学所属各预算单位共有车辆0辆其中，定向保障用车辆、执法执勤用车0辆。单位价值200万元以上大型设备0台（套）。</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2025年部门预算安排车辆购置经费0万元。其中，财政拨款预算安排0万元，非财政拨款安排0万元。拟购置定向保障用车0辆/执法执勤用车0辆。安排大型设备购置经费0万元，购置大型设备0台（套）。</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江林小学2025年部门预算未安排购置车辆及单位价值200万元以上大型设备。</w:t>
      </w:r>
    </w:p>
    <w:p>
      <w:pPr>
        <w:pStyle w:val="6"/>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7" w:name="_Toc1321551868_WPSOffice_Level3"/>
      <w:r>
        <w:rPr>
          <w:rFonts w:hint="eastAsia" w:ascii="Times New Roman" w:hAnsi="Times New Roman" w:eastAsia="仿宋_GB2312"/>
          <w:b/>
          <w:bCs/>
          <w:sz w:val="32"/>
          <w:szCs w:val="32"/>
        </w:rPr>
        <w:t>（四）预算绩效情况</w:t>
      </w:r>
      <w:bookmarkEnd w:id="57"/>
    </w:p>
    <w:p>
      <w:pPr>
        <w:pStyle w:val="6"/>
        <w:widowControl/>
        <w:spacing w:before="0" w:beforeAutospacing="0" w:after="0" w:afterAutospacing="0"/>
        <w:ind w:firstLine="640" w:firstLineChars="200"/>
        <w:jc w:val="both"/>
        <w:rPr>
          <w:rFonts w:hint="eastAsia" w:ascii="Times New Roman" w:hAnsi="Times New Roman" w:eastAsia="仿宋_GB2312" w:cs="仿宋_GB2312"/>
          <w:sz w:val="32"/>
          <w:szCs w:val="32"/>
        </w:rPr>
        <w:sectPr>
          <w:footerReference r:id="rId3" w:type="default"/>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2025年江林小学开展绩效目标管理的项目10个，涉及预算93.78万元。其中：人员类项目0个，涉及预算0万元；运转类项目0个，涉及预算0万元；特定目标类项目10个，涉及预算93.78万元。</w:t>
      </w:r>
    </w:p>
    <w:p>
      <w:pPr>
        <w:jc w:val="center"/>
        <w:outlineLvl w:val="0"/>
        <w:rPr>
          <w:rFonts w:ascii="Times New Roman" w:hAnsi="Times New Roman" w:eastAsia="方正小标宋简体" w:cs="方正小标宋简体"/>
          <w:kern w:val="0"/>
          <w:sz w:val="52"/>
          <w:szCs w:val="52"/>
          <w:lang w:bidi="ar"/>
        </w:rPr>
      </w:pPr>
      <w:bookmarkStart w:id="58" w:name="_Toc1865614398_WPSOffice_Level1"/>
      <w:r>
        <w:rPr>
          <w:rFonts w:hint="eastAsia" w:ascii="Times New Roman" w:hAnsi="Times New Roman" w:eastAsia="方正小标宋简体" w:cs="方正小标宋简体"/>
          <w:kern w:val="0"/>
          <w:sz w:val="52"/>
          <w:szCs w:val="52"/>
          <w:lang w:bidi="ar"/>
        </w:rPr>
        <w:t xml:space="preserve">第三部分  </w:t>
      </w:r>
      <w:r>
        <w:rPr>
          <w:rFonts w:ascii="Times New Roman" w:hAnsi="Times New Roman" w:eastAsia="方正小标宋简体" w:cs="方正小标宋简体"/>
          <w:kern w:val="0"/>
          <w:sz w:val="52"/>
          <w:szCs w:val="52"/>
          <w:lang w:bidi="ar"/>
        </w:rPr>
        <w:t>名词解释</w:t>
      </w:r>
      <w:bookmarkEnd w:id="58"/>
    </w:p>
    <w:p>
      <w:pPr>
        <w:spacing w:line="576" w:lineRule="exact"/>
        <w:ind w:firstLine="640"/>
        <w:rPr>
          <w:rFonts w:ascii="仿宋_GB2312" w:eastAsia="仿宋_GB2312"/>
          <w:color w:val="000000"/>
          <w:kern w:val="0"/>
          <w:sz w:val="32"/>
          <w:szCs w:val="32"/>
        </w:rPr>
      </w:pPr>
      <w:r>
        <w:rPr>
          <w:rFonts w:hint="eastAsia" w:ascii="仿宋_GB2312" w:eastAsia="仿宋_GB2312"/>
          <w:color w:val="000000"/>
          <w:sz w:val="32"/>
          <w:szCs w:val="32"/>
        </w:rPr>
        <w:t>1.财政拨款收入：指攀枝花市仁和区从攀枝花钒钛高新技术产业园区财政金融局拨付的财政预算资金。</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2.事业收入：指事业单位开展专业业务活动及辅助活动取得的收入。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3.经营收入：指事业单位在专业业务活动及其辅助活动之外开展非独立核算经营活动取得的收入。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4.其他收入：指单位取得的除上述收入以外的各项收入。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5.使用非财政拨款结余：指事业单位使用以前年度积累的非财政拨款结余弥补当年收支差额的金额。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6.年初结转和结余：指以前年度尚未完成、结转到本年按有关规定继续使用的资金。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7.结余分配：指事业单位按照会计制度规定缴纳的所得税、提取的专用结余以及转入非财政拨款结余的金额等。</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8.年末结转和结余：指单位按有关规定结转到下年或以后年度继续使用的资金。</w:t>
      </w:r>
    </w:p>
    <w:p>
      <w:pPr>
        <w:spacing w:line="600" w:lineRule="exact"/>
        <w:ind w:firstLine="640" w:firstLineChars="200"/>
        <w:rPr>
          <w:rFonts w:hint="eastAsia" w:ascii="仿宋" w:hAnsi="仿宋" w:eastAsia="仿宋"/>
          <w:sz w:val="32"/>
        </w:rPr>
      </w:pPr>
      <w:r>
        <w:rPr>
          <w:rFonts w:ascii="仿宋" w:hAnsi="仿宋" w:eastAsia="仿宋"/>
          <w:sz w:val="32"/>
        </w:rPr>
        <w:t>9、一般公共服务：反映政府提供一般公共服务的支出</w:t>
      </w:r>
    </w:p>
    <w:p>
      <w:pPr>
        <w:spacing w:line="600" w:lineRule="exact"/>
        <w:ind w:firstLine="640" w:firstLineChars="200"/>
        <w:rPr>
          <w:rFonts w:hint="eastAsia" w:ascii="仿宋" w:hAnsi="仿宋" w:eastAsia="仿宋"/>
          <w:sz w:val="32"/>
        </w:rPr>
      </w:pPr>
      <w:r>
        <w:rPr>
          <w:rFonts w:ascii="仿宋" w:hAnsi="仿宋" w:eastAsia="仿宋"/>
          <w:sz w:val="32"/>
        </w:rPr>
        <w:t>10、社会保障和就业支出：反映政府在社会保障与就业方面的支出。</w:t>
      </w:r>
    </w:p>
    <w:p>
      <w:pPr>
        <w:spacing w:line="600" w:lineRule="exact"/>
        <w:ind w:firstLine="640" w:firstLineChars="200"/>
        <w:rPr>
          <w:rFonts w:hint="eastAsia" w:ascii="仿宋" w:hAnsi="仿宋" w:eastAsia="仿宋"/>
          <w:sz w:val="32"/>
        </w:rPr>
      </w:pPr>
      <w:r>
        <w:rPr>
          <w:rFonts w:ascii="仿宋" w:hAnsi="仿宋" w:eastAsia="仿宋"/>
          <w:sz w:val="32"/>
        </w:rPr>
        <w:t>11、国土海洋气象等支出：反映政府用于国土资源、海洋、测绘、地震、气象等公益服务事业方面的支出。</w:t>
      </w:r>
    </w:p>
    <w:p>
      <w:pPr>
        <w:spacing w:line="600" w:lineRule="exact"/>
        <w:ind w:firstLine="640" w:firstLineChars="200"/>
        <w:rPr>
          <w:rFonts w:hint="eastAsia" w:ascii="仿宋" w:hAnsi="仿宋" w:eastAsia="仿宋"/>
          <w:sz w:val="32"/>
        </w:rPr>
      </w:pPr>
      <w:r>
        <w:rPr>
          <w:rFonts w:ascii="仿宋" w:hAnsi="仿宋" w:eastAsia="仿宋"/>
          <w:sz w:val="32"/>
        </w:rPr>
        <w:t>12、机关事业单位基本养老保险支出：反映机关事业单位实施养老保险制度由单位缴纳的基本养老保险支出。</w:t>
      </w:r>
    </w:p>
    <w:p>
      <w:pPr>
        <w:spacing w:line="600" w:lineRule="exact"/>
        <w:ind w:firstLine="640" w:firstLineChars="200"/>
        <w:rPr>
          <w:rFonts w:hint="eastAsia" w:ascii="仿宋" w:hAnsi="仿宋" w:eastAsia="仿宋"/>
          <w:sz w:val="32"/>
        </w:rPr>
      </w:pPr>
      <w:r>
        <w:rPr>
          <w:rFonts w:ascii="仿宋" w:hAnsi="仿宋" w:eastAsia="仿宋"/>
          <w:sz w:val="32"/>
        </w:rPr>
        <w:t>13、其他社会保障和就业支出：反映其他用于其他社会保障和就业方面的支出。</w:t>
      </w:r>
    </w:p>
    <w:p>
      <w:pPr>
        <w:spacing w:line="600" w:lineRule="exact"/>
        <w:ind w:firstLine="640" w:firstLineChars="200"/>
        <w:rPr>
          <w:rFonts w:hint="eastAsia" w:ascii="仿宋" w:hAnsi="仿宋" w:eastAsia="仿宋"/>
          <w:sz w:val="32"/>
        </w:rPr>
      </w:pPr>
      <w:r>
        <w:rPr>
          <w:rFonts w:ascii="仿宋" w:hAnsi="仿宋" w:eastAsia="仿宋"/>
          <w:sz w:val="32"/>
        </w:rPr>
        <w:t>14、住房公积金支出：反映机关事业单位按人力资源和社会保障部，财政部规定的基本工资和津贴补贴以及规定比例为职工缴纳的住房公积金。</w:t>
      </w:r>
    </w:p>
    <w:p>
      <w:pPr>
        <w:spacing w:line="600" w:lineRule="exact"/>
        <w:ind w:firstLine="640" w:firstLineChars="200"/>
        <w:rPr>
          <w:rFonts w:hint="eastAsia" w:ascii="仿宋" w:hAnsi="仿宋" w:eastAsia="仿宋"/>
          <w:sz w:val="32"/>
        </w:rPr>
      </w:pPr>
      <w:r>
        <w:rPr>
          <w:rFonts w:ascii="仿宋" w:hAnsi="仿宋" w:eastAsia="仿宋"/>
          <w:sz w:val="32"/>
        </w:rPr>
        <w:t>15、事业运行：反映机关事业单位的基本支出，不包括行政单位（包括实行公务员管理的事业单位）后勤服务中心，医务室等附属事业单位。</w:t>
      </w:r>
    </w:p>
    <w:p>
      <w:pPr>
        <w:spacing w:line="600" w:lineRule="exact"/>
        <w:ind w:firstLine="640" w:firstLineChars="200"/>
        <w:rPr>
          <w:rFonts w:hint="eastAsia" w:ascii="仿宋" w:hAnsi="仿宋" w:eastAsia="仿宋"/>
          <w:sz w:val="32"/>
        </w:rPr>
      </w:pPr>
      <w:r>
        <w:rPr>
          <w:rFonts w:ascii="仿宋" w:hAnsi="仿宋" w:eastAsia="仿宋"/>
          <w:sz w:val="32"/>
        </w:rPr>
        <w:t>16、机关事业单位职业年金保险支出：反映机关事业单位实施养老保险制度由单位缴纳的职业年金保险支出。</w:t>
      </w:r>
    </w:p>
    <w:p>
      <w:pPr>
        <w:spacing w:line="600" w:lineRule="exact"/>
        <w:ind w:firstLine="640" w:firstLineChars="200"/>
        <w:rPr>
          <w:rFonts w:hint="eastAsia" w:ascii="仿宋" w:hAnsi="仿宋" w:eastAsia="仿宋"/>
          <w:sz w:val="32"/>
        </w:rPr>
      </w:pPr>
      <w:r>
        <w:rPr>
          <w:rFonts w:ascii="仿宋" w:hAnsi="仿宋" w:eastAsia="仿宋"/>
          <w:sz w:val="32"/>
        </w:rPr>
        <w:t>17、基本支出：指为保障机构正常运转、完成日常工作任务而发生的人员支出和公用支出。</w:t>
      </w:r>
    </w:p>
    <w:p>
      <w:pPr>
        <w:spacing w:line="600" w:lineRule="exact"/>
        <w:ind w:firstLine="640" w:firstLineChars="200"/>
        <w:rPr>
          <w:rFonts w:hint="eastAsia" w:ascii="仿宋" w:hAnsi="仿宋" w:eastAsia="仿宋"/>
          <w:sz w:val="32"/>
        </w:rPr>
      </w:pPr>
      <w:r>
        <w:rPr>
          <w:rFonts w:ascii="仿宋" w:hAnsi="仿宋" w:eastAsia="仿宋"/>
          <w:sz w:val="32"/>
        </w:rPr>
        <w:t xml:space="preserve">18、项目支出：指在基本支出之外为完成特定行政任务和事业发展目标所发生的支出。 </w:t>
      </w:r>
    </w:p>
    <w:p>
      <w:pPr>
        <w:spacing w:line="600" w:lineRule="exact"/>
        <w:ind w:firstLine="640" w:firstLineChars="200"/>
        <w:rPr>
          <w:rFonts w:hint="eastAsia" w:ascii="仿宋" w:hAnsi="仿宋" w:eastAsia="仿宋"/>
          <w:sz w:val="32"/>
        </w:rPr>
      </w:pPr>
      <w:r>
        <w:rPr>
          <w:rFonts w:ascii="仿宋" w:hAnsi="仿宋" w:eastAsia="仿宋"/>
          <w:sz w:val="32"/>
        </w:rPr>
        <w:t>19、经营支出：指事业单位在专业业务活动及其辅助活动之外开展非独立核算经营活动发生的支出。</w:t>
      </w:r>
    </w:p>
    <w:p>
      <w:pPr>
        <w:spacing w:line="600" w:lineRule="exact"/>
        <w:ind w:firstLine="640" w:firstLineChars="200"/>
        <w:rPr>
          <w:rFonts w:hint="eastAsia" w:ascii="仿宋" w:hAnsi="仿宋" w:eastAsia="仿宋"/>
          <w:sz w:val="32"/>
        </w:rPr>
      </w:pPr>
      <w:r>
        <w:rPr>
          <w:rFonts w:ascii="仿宋" w:hAnsi="仿宋" w:eastAsia="仿宋"/>
          <w:sz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 w:hAnsi="仿宋" w:eastAsia="仿宋"/>
          <w:sz w:val="32"/>
        </w:rPr>
      </w:pPr>
      <w:r>
        <w:rPr>
          <w:rFonts w:ascii="仿宋" w:hAnsi="仿宋" w:eastAsia="仿宋"/>
          <w:sz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小学教育：主要反映江林小学的小学教育支出，政府部门对社会组织等举办的小学的资助，如各类补贴等。</w:t>
      </w:r>
    </w:p>
    <w:p>
      <w:pPr>
        <w:spacing w:line="600" w:lineRule="exact"/>
        <w:ind w:firstLine="636" w:firstLineChars="19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机关事业单位基本养老保险缴费支出：主要反映江林小学实施养老保险制度由单位缴纳的基本养老保险支出。</w:t>
      </w:r>
    </w:p>
    <w:p>
      <w:pPr>
        <w:spacing w:line="600" w:lineRule="exact"/>
        <w:ind w:firstLine="636" w:firstLineChars="199"/>
        <w:rPr>
          <w:rFonts w:ascii="仿宋_GB2312" w:eastAsia="仿宋_GB2312"/>
          <w:sz w:val="32"/>
          <w:szCs w:val="32"/>
        </w:rPr>
      </w:pPr>
    </w:p>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附件：表1.部门收支总表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表1-1.部门收入总表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表1-2.部门支出总表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表2.财政拨款收支预算总表</w:t>
      </w:r>
    </w:p>
    <w:p>
      <w:pPr>
        <w:suppressAutoHyphens/>
        <w:spacing w:line="600" w:lineRule="exact"/>
        <w:ind w:firstLine="1600" w:firstLineChars="5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2-1.财政拨款支出预算表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表3.一般公共预算支出预算表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表3-1.一般公共预算基本支出预算表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表3-2.一般公共预算项目支出预算表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表3-3.一般公共预算“三公”经费支出预算表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表4.政府性基金支出预算表</w:t>
      </w:r>
    </w:p>
    <w:p>
      <w:pPr>
        <w:suppressAutoHyphens/>
        <w:spacing w:line="60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表4-1.政府性基金预算“三公”经费支出预算表</w:t>
      </w:r>
    </w:p>
    <w:p>
      <w:pPr>
        <w:suppressAutoHyphens/>
        <w:spacing w:line="60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表5.国有资本经营预算支出预算表</w:t>
      </w:r>
    </w:p>
    <w:p>
      <w:pPr>
        <w:suppressAutoHyphens/>
        <w:spacing w:line="600" w:lineRule="exact"/>
        <w:ind w:firstLine="1280" w:firstLineChars="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6.部门整体支出绩效目标表</w:t>
      </w:r>
    </w:p>
    <w:p>
      <w:pPr>
        <w:suppressAutoHyphens/>
        <w:spacing w:line="600" w:lineRule="exact"/>
        <w:ind w:firstLine="1280" w:firstLineChars="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表</w:t>
      </w:r>
      <w:r>
        <w:rPr>
          <w:rFonts w:hint="eastAsia"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lang w:val="en-US" w:eastAsia="zh-CN"/>
        </w:rPr>
        <w:t>.部门预算项目绩效目标表</w:t>
      </w:r>
    </w:p>
    <w:p/>
    <w:p>
      <w:pPr>
        <w:spacing w:line="580" w:lineRule="exact"/>
        <w:ind w:firstLine="420" w:firstLineChars="200"/>
        <w:outlineLvl w:val="1"/>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方正楷体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1"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- 10 -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TEwZTRkZDY2MTg5ZjE2OTRhNGExYTZmMmFmNjUifQ=="/>
  </w:docVars>
  <w:rsids>
    <w:rsidRoot w:val="4DAF7572"/>
    <w:rsid w:val="00120078"/>
    <w:rsid w:val="00120877"/>
    <w:rsid w:val="00132091"/>
    <w:rsid w:val="00185025"/>
    <w:rsid w:val="001C209B"/>
    <w:rsid w:val="00220EBE"/>
    <w:rsid w:val="0024038A"/>
    <w:rsid w:val="002446F5"/>
    <w:rsid w:val="00254902"/>
    <w:rsid w:val="002719F1"/>
    <w:rsid w:val="00305976"/>
    <w:rsid w:val="00306BC2"/>
    <w:rsid w:val="00321231"/>
    <w:rsid w:val="00360BF3"/>
    <w:rsid w:val="003D0189"/>
    <w:rsid w:val="00453814"/>
    <w:rsid w:val="004B0D9B"/>
    <w:rsid w:val="004B798A"/>
    <w:rsid w:val="004E4224"/>
    <w:rsid w:val="004E75F8"/>
    <w:rsid w:val="005251AE"/>
    <w:rsid w:val="005412B8"/>
    <w:rsid w:val="00551F8A"/>
    <w:rsid w:val="005563AE"/>
    <w:rsid w:val="005B7050"/>
    <w:rsid w:val="0060700D"/>
    <w:rsid w:val="00633833"/>
    <w:rsid w:val="006B0AD5"/>
    <w:rsid w:val="006C7D09"/>
    <w:rsid w:val="0071487D"/>
    <w:rsid w:val="00746E2A"/>
    <w:rsid w:val="007C35D7"/>
    <w:rsid w:val="007E2125"/>
    <w:rsid w:val="00853000"/>
    <w:rsid w:val="00871613"/>
    <w:rsid w:val="008B146F"/>
    <w:rsid w:val="008B3346"/>
    <w:rsid w:val="00927083"/>
    <w:rsid w:val="009D2EC5"/>
    <w:rsid w:val="00A00668"/>
    <w:rsid w:val="00A07450"/>
    <w:rsid w:val="00A45EBC"/>
    <w:rsid w:val="00A47978"/>
    <w:rsid w:val="00A75EA0"/>
    <w:rsid w:val="00A93E73"/>
    <w:rsid w:val="00A96F40"/>
    <w:rsid w:val="00AC1DAB"/>
    <w:rsid w:val="00AC7AF3"/>
    <w:rsid w:val="00AD3C68"/>
    <w:rsid w:val="00AE0E06"/>
    <w:rsid w:val="00B268DC"/>
    <w:rsid w:val="00B60663"/>
    <w:rsid w:val="00BC4399"/>
    <w:rsid w:val="00BD02DA"/>
    <w:rsid w:val="00C8659B"/>
    <w:rsid w:val="00CA69A8"/>
    <w:rsid w:val="00CC1851"/>
    <w:rsid w:val="00CF6361"/>
    <w:rsid w:val="00DC05AE"/>
    <w:rsid w:val="00DE2B88"/>
    <w:rsid w:val="00E13A08"/>
    <w:rsid w:val="00E539AD"/>
    <w:rsid w:val="00ED2EE8"/>
    <w:rsid w:val="00F1595F"/>
    <w:rsid w:val="00F50C8D"/>
    <w:rsid w:val="00F81A0F"/>
    <w:rsid w:val="05D65153"/>
    <w:rsid w:val="0BC17FD4"/>
    <w:rsid w:val="15293404"/>
    <w:rsid w:val="1C172E08"/>
    <w:rsid w:val="1D8C29F5"/>
    <w:rsid w:val="1EAA107C"/>
    <w:rsid w:val="2314124D"/>
    <w:rsid w:val="24931504"/>
    <w:rsid w:val="2B493B56"/>
    <w:rsid w:val="2E9366B1"/>
    <w:rsid w:val="2FE13AFE"/>
    <w:rsid w:val="31200E1B"/>
    <w:rsid w:val="373F254C"/>
    <w:rsid w:val="3E947F22"/>
    <w:rsid w:val="46D90B7B"/>
    <w:rsid w:val="48362E44"/>
    <w:rsid w:val="49C66341"/>
    <w:rsid w:val="4BD43F89"/>
    <w:rsid w:val="4C4E2FA9"/>
    <w:rsid w:val="4DAF7572"/>
    <w:rsid w:val="5D8E675C"/>
    <w:rsid w:val="5E9A0CA5"/>
    <w:rsid w:val="642F22BF"/>
    <w:rsid w:val="776808B4"/>
    <w:rsid w:val="792F720A"/>
    <w:rsid w:val="BDF7FD65"/>
    <w:rsid w:val="EFFB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4"/>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 w:type="paragraph" w:customStyle="1" w:styleId="1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9b5946b-a010-4073-a9b4-4468c25fdc33}"/>
        <w:style w:val=""/>
        <w:category>
          <w:name w:val="常规"/>
          <w:gallery w:val="placeholder"/>
        </w:category>
        <w:types>
          <w:type w:val="bbPlcHdr"/>
        </w:types>
        <w:behaviors>
          <w:behavior w:val="content"/>
        </w:behaviors>
        <w:description w:val=""/>
        <w:guid w:val="{d9b5946b-a010-4073-a9b4-4468c25fdc33}"/>
      </w:docPartPr>
      <w:docPartBody>
        <w:p>
          <w:r>
            <w:rPr>
              <w:color w:val="808080"/>
            </w:rPr>
            <w:t>单击此处输入文字。</w:t>
          </w:r>
        </w:p>
      </w:docPartBody>
    </w:docPart>
    <w:docPart>
      <w:docPartPr>
        <w:name w:val="{68fdb626-8772-46c6-ad8f-686861c4ae12}"/>
        <w:style w:val=""/>
        <w:category>
          <w:name w:val="常规"/>
          <w:gallery w:val="placeholder"/>
        </w:category>
        <w:types>
          <w:type w:val="bbPlcHdr"/>
        </w:types>
        <w:behaviors>
          <w:behavior w:val="content"/>
        </w:behaviors>
        <w:description w:val=""/>
        <w:guid w:val="{68fdb626-8772-46c6-ad8f-686861c4ae12}"/>
      </w:docPartPr>
      <w:docPartBody>
        <w:p>
          <w:r>
            <w:rPr>
              <w:color w:val="808080"/>
            </w:rPr>
            <w:t>单击此处输入文字。</w:t>
          </w:r>
        </w:p>
      </w:docPartBody>
    </w:docPart>
    <w:docPart>
      <w:docPartPr>
        <w:name w:val="{2f3b728d-bb22-4c82-94e7-fe1c4617378e}"/>
        <w:style w:val=""/>
        <w:category>
          <w:name w:val="常规"/>
          <w:gallery w:val="placeholder"/>
        </w:category>
        <w:types>
          <w:type w:val="bbPlcHdr"/>
        </w:types>
        <w:behaviors>
          <w:behavior w:val="content"/>
        </w:behaviors>
        <w:description w:val=""/>
        <w:guid w:val="{2f3b728d-bb22-4c82-94e7-fe1c4617378e}"/>
      </w:docPartPr>
      <w:docPartBody>
        <w:p>
          <w:r>
            <w:rPr>
              <w:color w:val="808080"/>
            </w:rPr>
            <w:t>单击此处输入文字。</w:t>
          </w:r>
        </w:p>
      </w:docPartBody>
    </w:docPart>
    <w:docPart>
      <w:docPartPr>
        <w:name w:val="{e946d8b8-515f-4d3d-af15-61a477dd9891}"/>
        <w:style w:val=""/>
        <w:category>
          <w:name w:val="常规"/>
          <w:gallery w:val="placeholder"/>
        </w:category>
        <w:types>
          <w:type w:val="bbPlcHdr"/>
        </w:types>
        <w:behaviors>
          <w:behavior w:val="content"/>
        </w:behaviors>
        <w:description w:val=""/>
        <w:guid w:val="{e946d8b8-515f-4d3d-af15-61a477dd9891}"/>
      </w:docPartPr>
      <w:docPartBody>
        <w:p>
          <w:r>
            <w:rPr>
              <w:color w:val="808080"/>
            </w:rPr>
            <w:t>单击此处输入文字。</w:t>
          </w:r>
        </w:p>
      </w:docPartBody>
    </w:docPart>
    <w:docPart>
      <w:docPartPr>
        <w:name w:val="{00cd19d9-8c0a-4e3b-afd6-c5e0f26ea1a0}"/>
        <w:style w:val=""/>
        <w:category>
          <w:name w:val="常规"/>
          <w:gallery w:val="placeholder"/>
        </w:category>
        <w:types>
          <w:type w:val="bbPlcHdr"/>
        </w:types>
        <w:behaviors>
          <w:behavior w:val="content"/>
        </w:behaviors>
        <w:description w:val=""/>
        <w:guid w:val="{00cd19d9-8c0a-4e3b-afd6-c5e0f26ea1a0}"/>
      </w:docPartPr>
      <w:docPartBody>
        <w:p>
          <w:r>
            <w:rPr>
              <w:color w:val="808080"/>
            </w:rPr>
            <w:t>单击此处输入文字。</w:t>
          </w:r>
        </w:p>
      </w:docPartBody>
    </w:docPart>
    <w:docPart>
      <w:docPartPr>
        <w:name w:val="{980747fc-28e2-481a-becc-7b0ea8511802}"/>
        <w:style w:val=""/>
        <w:category>
          <w:name w:val="常规"/>
          <w:gallery w:val="placeholder"/>
        </w:category>
        <w:types>
          <w:type w:val="bbPlcHdr"/>
        </w:types>
        <w:behaviors>
          <w:behavior w:val="content"/>
        </w:behaviors>
        <w:description w:val=""/>
        <w:guid w:val="{980747fc-28e2-481a-becc-7b0ea8511802}"/>
      </w:docPartPr>
      <w:docPartBody>
        <w:p>
          <w:r>
            <w:rPr>
              <w:color w:val="808080"/>
            </w:rPr>
            <w:t>单击此处输入文字。</w:t>
          </w:r>
        </w:p>
      </w:docPartBody>
    </w:docPart>
    <w:docPart>
      <w:docPartPr>
        <w:name w:val="{849a0a08-1d02-40bb-9f30-45742481f77d}"/>
        <w:style w:val=""/>
        <w:category>
          <w:name w:val="常规"/>
          <w:gallery w:val="placeholder"/>
        </w:category>
        <w:types>
          <w:type w:val="bbPlcHdr"/>
        </w:types>
        <w:behaviors>
          <w:behavior w:val="content"/>
        </w:behaviors>
        <w:description w:val=""/>
        <w:guid w:val="{849a0a08-1d02-40bb-9f30-45742481f77d}"/>
      </w:docPartPr>
      <w:docPartBody>
        <w:p>
          <w:r>
            <w:rPr>
              <w:color w:val="808080"/>
            </w:rPr>
            <w:t>单击此处输入文字。</w:t>
          </w:r>
        </w:p>
      </w:docPartBody>
    </w:docPart>
    <w:docPart>
      <w:docPartPr>
        <w:name w:val="{e9065960-1ae0-48a1-a5ea-97e1aa1716c2}"/>
        <w:style w:val=""/>
        <w:category>
          <w:name w:val="常规"/>
          <w:gallery w:val="placeholder"/>
        </w:category>
        <w:types>
          <w:type w:val="bbPlcHdr"/>
        </w:types>
        <w:behaviors>
          <w:behavior w:val="content"/>
        </w:behaviors>
        <w:description w:val=""/>
        <w:guid w:val="{e9065960-1ae0-48a1-a5ea-97e1aa1716c2}"/>
      </w:docPartPr>
      <w:docPartBody>
        <w:p>
          <w:r>
            <w:rPr>
              <w:color w:val="808080"/>
            </w:rPr>
            <w:t>单击此处输入文字。</w:t>
          </w:r>
        </w:p>
      </w:docPartBody>
    </w:docPart>
    <w:docPart>
      <w:docPartPr>
        <w:name w:val="{df593bae-8e67-4b41-b30c-f57895a955c7}"/>
        <w:style w:val=""/>
        <w:category>
          <w:name w:val="常规"/>
          <w:gallery w:val="placeholder"/>
        </w:category>
        <w:types>
          <w:type w:val="bbPlcHdr"/>
        </w:types>
        <w:behaviors>
          <w:behavior w:val="content"/>
        </w:behaviors>
        <w:description w:val=""/>
        <w:guid w:val="{df593bae-8e67-4b41-b30c-f57895a955c7}"/>
      </w:docPartPr>
      <w:docPartBody>
        <w:p>
          <w:r>
            <w:rPr>
              <w:color w:val="808080"/>
            </w:rPr>
            <w:t>单击此处输入文字。</w:t>
          </w:r>
        </w:p>
      </w:docPartBody>
    </w:docPart>
    <w:docPart>
      <w:docPartPr>
        <w:name w:val="{af313d21-c8f1-4388-b28c-c6c9f6a36571}"/>
        <w:style w:val=""/>
        <w:category>
          <w:name w:val="常规"/>
          <w:gallery w:val="placeholder"/>
        </w:category>
        <w:types>
          <w:type w:val="bbPlcHdr"/>
        </w:types>
        <w:behaviors>
          <w:behavior w:val="content"/>
        </w:behaviors>
        <w:description w:val=""/>
        <w:guid w:val="{af313d21-c8f1-4388-b28c-c6c9f6a36571}"/>
      </w:docPartPr>
      <w:docPartBody>
        <w:p>
          <w:r>
            <w:rPr>
              <w:color w:val="808080"/>
            </w:rPr>
            <w:t>单击此处输入文字。</w:t>
          </w:r>
        </w:p>
      </w:docPartBody>
    </w:docPart>
    <w:docPart>
      <w:docPartPr>
        <w:name w:val="{6f19503d-7b75-431f-9063-1229368f48c7}"/>
        <w:style w:val=""/>
        <w:category>
          <w:name w:val="常规"/>
          <w:gallery w:val="placeholder"/>
        </w:category>
        <w:types>
          <w:type w:val="bbPlcHdr"/>
        </w:types>
        <w:behaviors>
          <w:behavior w:val="content"/>
        </w:behaviors>
        <w:description w:val=""/>
        <w:guid w:val="{6f19503d-7b75-431f-9063-1229368f48c7}"/>
      </w:docPartPr>
      <w:docPartBody>
        <w:p>
          <w:r>
            <w:rPr>
              <w:color w:val="808080"/>
            </w:rPr>
            <w:t>单击此处输入文字。</w:t>
          </w:r>
        </w:p>
      </w:docPartBody>
    </w:docPart>
    <w:docPart>
      <w:docPartPr>
        <w:name w:val="{02a71af4-4fa1-4572-a3e5-ec7bfba994cc}"/>
        <w:style w:val=""/>
        <w:category>
          <w:name w:val="常规"/>
          <w:gallery w:val="placeholder"/>
        </w:category>
        <w:types>
          <w:type w:val="bbPlcHdr"/>
        </w:types>
        <w:behaviors>
          <w:behavior w:val="content"/>
        </w:behaviors>
        <w:description w:val=""/>
        <w:guid w:val="{02a71af4-4fa1-4572-a3e5-ec7bfba994cc}"/>
      </w:docPartPr>
      <w:docPartBody>
        <w:p>
          <w:r>
            <w:rPr>
              <w:color w:val="808080"/>
            </w:rPr>
            <w:t>单击此处输入文字。</w:t>
          </w:r>
        </w:p>
      </w:docPartBody>
    </w:docPart>
    <w:docPart>
      <w:docPartPr>
        <w:name w:val="{fd15cd9b-c31b-4c82-a15f-6493b48b3a9e}"/>
        <w:style w:val=""/>
        <w:category>
          <w:name w:val="常规"/>
          <w:gallery w:val="placeholder"/>
        </w:category>
        <w:types>
          <w:type w:val="bbPlcHdr"/>
        </w:types>
        <w:behaviors>
          <w:behavior w:val="content"/>
        </w:behaviors>
        <w:description w:val=""/>
        <w:guid w:val="{fd15cd9b-c31b-4c82-a15f-6493b48b3a9e}"/>
      </w:docPartPr>
      <w:docPartBody>
        <w:p>
          <w:r>
            <w:rPr>
              <w:color w:val="808080"/>
            </w:rPr>
            <w:t>单击此处输入文字。</w:t>
          </w:r>
        </w:p>
      </w:docPartBody>
    </w:docPart>
    <w:docPart>
      <w:docPartPr>
        <w:name w:val="{588907be-e54d-4d66-a7a9-39280b6a24fc}"/>
        <w:style w:val=""/>
        <w:category>
          <w:name w:val="常规"/>
          <w:gallery w:val="placeholder"/>
        </w:category>
        <w:types>
          <w:type w:val="bbPlcHdr"/>
        </w:types>
        <w:behaviors>
          <w:behavior w:val="content"/>
        </w:behaviors>
        <w:description w:val=""/>
        <w:guid w:val="{588907be-e54d-4d66-a7a9-39280b6a24fc}"/>
      </w:docPartPr>
      <w:docPartBody>
        <w:p>
          <w:r>
            <w:rPr>
              <w:color w:val="808080"/>
            </w:rPr>
            <w:t>单击此处输入文字。</w:t>
          </w:r>
        </w:p>
      </w:docPartBody>
    </w:docPart>
    <w:docPart>
      <w:docPartPr>
        <w:name w:val="{796e8507-86be-4510-b312-6cca59b3be44}"/>
        <w:style w:val=""/>
        <w:category>
          <w:name w:val="常规"/>
          <w:gallery w:val="placeholder"/>
        </w:category>
        <w:types>
          <w:type w:val="bbPlcHdr"/>
        </w:types>
        <w:behaviors>
          <w:behavior w:val="content"/>
        </w:behaviors>
        <w:description w:val=""/>
        <w:guid w:val="{796e8507-86be-4510-b312-6cca59b3be44}"/>
      </w:docPartPr>
      <w:docPartBody>
        <w:p>
          <w:r>
            <w:rPr>
              <w:color w:val="808080"/>
            </w:rPr>
            <w:t>单击此处输入文字。</w:t>
          </w:r>
        </w:p>
      </w:docPartBody>
    </w:docPart>
    <w:docPart>
      <w:docPartPr>
        <w:name w:val="{42baf880-c32b-4c2c-8cdf-495b9ca5fce2}"/>
        <w:style w:val=""/>
        <w:category>
          <w:name w:val="常规"/>
          <w:gallery w:val="placeholder"/>
        </w:category>
        <w:types>
          <w:type w:val="bbPlcHdr"/>
        </w:types>
        <w:behaviors>
          <w:behavior w:val="content"/>
        </w:behaviors>
        <w:description w:val=""/>
        <w:guid w:val="{42baf880-c32b-4c2c-8cdf-495b9ca5fce2}"/>
      </w:docPartPr>
      <w:docPartBody>
        <w:p>
          <w:r>
            <w:rPr>
              <w:color w:val="808080"/>
            </w:rPr>
            <w:t>单击此处输入文字。</w:t>
          </w:r>
        </w:p>
      </w:docPartBody>
    </w:docPart>
    <w:docPart>
      <w:docPartPr>
        <w:name w:val="{923d0b1c-44de-4ef1-8ada-7d0ada836754}"/>
        <w:style w:val=""/>
        <w:category>
          <w:name w:val="常规"/>
          <w:gallery w:val="placeholder"/>
        </w:category>
        <w:types>
          <w:type w:val="bbPlcHdr"/>
        </w:types>
        <w:behaviors>
          <w:behavior w:val="content"/>
        </w:behaviors>
        <w:description w:val=""/>
        <w:guid w:val="{923d0b1c-44de-4ef1-8ada-7d0ada836754}"/>
      </w:docPartPr>
      <w:docPartBody>
        <w:p>
          <w:r>
            <w:rPr>
              <w:color w:val="808080"/>
            </w:rPr>
            <w:t>单击此处输入文字。</w:t>
          </w:r>
        </w:p>
      </w:docPartBody>
    </w:docPart>
    <w:docPart>
      <w:docPartPr>
        <w:name w:val="{1f5c021e-8a81-4a59-89dc-47e2b654d030}"/>
        <w:style w:val=""/>
        <w:category>
          <w:name w:val="常规"/>
          <w:gallery w:val="placeholder"/>
        </w:category>
        <w:types>
          <w:type w:val="bbPlcHdr"/>
        </w:types>
        <w:behaviors>
          <w:behavior w:val="content"/>
        </w:behaviors>
        <w:description w:val=""/>
        <w:guid w:val="{1f5c021e-8a81-4a59-89dc-47e2b654d030}"/>
      </w:docPartPr>
      <w:docPartBody>
        <w:p>
          <w:r>
            <w:rPr>
              <w:color w:val="808080"/>
            </w:rPr>
            <w:t>单击此处输入文字。</w:t>
          </w:r>
        </w:p>
      </w:docPartBody>
    </w:docPart>
    <w:docPart>
      <w:docPartPr>
        <w:name w:val="{32ecf1fd-f3e5-496a-90f7-5d772df10456}"/>
        <w:style w:val=""/>
        <w:category>
          <w:name w:val="常规"/>
          <w:gallery w:val="placeholder"/>
        </w:category>
        <w:types>
          <w:type w:val="bbPlcHdr"/>
        </w:types>
        <w:behaviors>
          <w:behavior w:val="content"/>
        </w:behaviors>
        <w:description w:val=""/>
        <w:guid w:val="{32ecf1fd-f3e5-496a-90f7-5d772df10456}"/>
      </w:docPartPr>
      <w:docPartBody>
        <w:p>
          <w:r>
            <w:rPr>
              <w:color w:val="808080"/>
            </w:rPr>
            <w:t>单击此处输入文字。</w:t>
          </w:r>
        </w:p>
      </w:docPartBody>
    </w:docPart>
    <w:docPart>
      <w:docPartPr>
        <w:name w:val="{ed8f1a63-ab5b-487c-8982-30228128a93a}"/>
        <w:style w:val=""/>
        <w:category>
          <w:name w:val="常规"/>
          <w:gallery w:val="placeholder"/>
        </w:category>
        <w:types>
          <w:type w:val="bbPlcHdr"/>
        </w:types>
        <w:behaviors>
          <w:behavior w:val="content"/>
        </w:behaviors>
        <w:description w:val=""/>
        <w:guid w:val="{ed8f1a63-ab5b-487c-8982-30228128a93a}"/>
      </w:docPartPr>
      <w:docPartBody>
        <w:p>
          <w:r>
            <w:rPr>
              <w:color w:val="808080"/>
            </w:rPr>
            <w:t>单击此处输入文字。</w:t>
          </w:r>
        </w:p>
      </w:docPartBody>
    </w:docPart>
    <w:docPart>
      <w:docPartPr>
        <w:name w:val="{0e8f72c9-1545-42d4-ad89-d07e046864e9}"/>
        <w:style w:val=""/>
        <w:category>
          <w:name w:val="常规"/>
          <w:gallery w:val="placeholder"/>
        </w:category>
        <w:types>
          <w:type w:val="bbPlcHdr"/>
        </w:types>
        <w:behaviors>
          <w:behavior w:val="content"/>
        </w:behaviors>
        <w:description w:val=""/>
        <w:guid w:val="{0e8f72c9-1545-42d4-ad89-d07e046864e9}"/>
      </w:docPartPr>
      <w:docPartBody>
        <w:p>
          <w:r>
            <w:rPr>
              <w:color w:val="808080"/>
            </w:rPr>
            <w:t>单击此处输入文字。</w:t>
          </w:r>
        </w:p>
      </w:docPartBody>
    </w:docPart>
    <w:docPart>
      <w:docPartPr>
        <w:name w:val="{72a29ccd-b431-49d1-bde0-7c5bf23d429f}"/>
        <w:style w:val=""/>
        <w:category>
          <w:name w:val="常规"/>
          <w:gallery w:val="placeholder"/>
        </w:category>
        <w:types>
          <w:type w:val="bbPlcHdr"/>
        </w:types>
        <w:behaviors>
          <w:behavior w:val="content"/>
        </w:behaviors>
        <w:description w:val=""/>
        <w:guid w:val="{72a29ccd-b431-49d1-bde0-7c5bf23d429f}"/>
      </w:docPartPr>
      <w:docPartBody>
        <w:p>
          <w:r>
            <w:rPr>
              <w:color w:val="808080"/>
            </w:rPr>
            <w:t>单击此处输入文字。</w:t>
          </w:r>
        </w:p>
      </w:docPartBody>
    </w:docPart>
    <w:docPart>
      <w:docPartPr>
        <w:name w:val="{8dcdb988-aeea-473c-86a2-ffdd57b3cb4c}"/>
        <w:style w:val=""/>
        <w:category>
          <w:name w:val="常规"/>
          <w:gallery w:val="placeholder"/>
        </w:category>
        <w:types>
          <w:type w:val="bbPlcHdr"/>
        </w:types>
        <w:behaviors>
          <w:behavior w:val="content"/>
        </w:behaviors>
        <w:description w:val=""/>
        <w:guid w:val="{8dcdb988-aeea-473c-86a2-ffdd57b3cb4c}"/>
      </w:docPartPr>
      <w:docPartBody>
        <w:p>
          <w:r>
            <w:rPr>
              <w:color w:val="808080"/>
            </w:rPr>
            <w:t>单击此处输入文字。</w:t>
          </w:r>
        </w:p>
      </w:docPartBody>
    </w:docPart>
    <w:docPart>
      <w:docPartPr>
        <w:name w:val="{de8ca16e-79ca-4c44-8d32-8e4085b60abe}"/>
        <w:style w:val=""/>
        <w:category>
          <w:name w:val="常规"/>
          <w:gallery w:val="placeholder"/>
        </w:category>
        <w:types>
          <w:type w:val="bbPlcHdr"/>
        </w:types>
        <w:behaviors>
          <w:behavior w:val="content"/>
        </w:behaviors>
        <w:description w:val=""/>
        <w:guid w:val="{de8ca16e-79ca-4c44-8d32-8e4085b60abe}"/>
      </w:docPartPr>
      <w:docPartBody>
        <w:p>
          <w:r>
            <w:rPr>
              <w:color w:val="808080"/>
            </w:rPr>
            <w:t>单击此处输入文字。</w:t>
          </w:r>
        </w:p>
      </w:docPartBody>
    </w:docPart>
    <w:docPart>
      <w:docPartPr>
        <w:name w:val="{f9499113-8cec-44bc-844d-88771fef820d}"/>
        <w:style w:val=""/>
        <w:category>
          <w:name w:val="常规"/>
          <w:gallery w:val="placeholder"/>
        </w:category>
        <w:types>
          <w:type w:val="bbPlcHdr"/>
        </w:types>
        <w:behaviors>
          <w:behavior w:val="content"/>
        </w:behaviors>
        <w:description w:val=""/>
        <w:guid w:val="{f9499113-8cec-44bc-844d-88771fef820d}"/>
      </w:docPartPr>
      <w:docPartBody>
        <w:p>
          <w:r>
            <w:rPr>
              <w:color w:val="808080"/>
            </w:rPr>
            <w:t>单击此处输入文字。</w:t>
          </w:r>
        </w:p>
      </w:docPartBody>
    </w:docPart>
    <w:docPart>
      <w:docPartPr>
        <w:name w:val="{d2131f80-f2be-4524-bbcf-a9fc604493a1}"/>
        <w:style w:val=""/>
        <w:category>
          <w:name w:val="常规"/>
          <w:gallery w:val="placeholder"/>
        </w:category>
        <w:types>
          <w:type w:val="bbPlcHdr"/>
        </w:types>
        <w:behaviors>
          <w:behavior w:val="content"/>
        </w:behaviors>
        <w:description w:val=""/>
        <w:guid w:val="{d2131f80-f2be-4524-bbcf-a9fc604493a1}"/>
      </w:docPartPr>
      <w:docPartBody>
        <w:p>
          <w:r>
            <w:rPr>
              <w:color w:val="808080"/>
            </w:rPr>
            <w:t>单击此处输入文字。</w:t>
          </w:r>
        </w:p>
      </w:docPartBody>
    </w:docPart>
    <w:docPart>
      <w:docPartPr>
        <w:name w:val="{2987ed39-2ef5-4ae0-94c3-eca29e90e30d}"/>
        <w:style w:val=""/>
        <w:category>
          <w:name w:val="常规"/>
          <w:gallery w:val="placeholder"/>
        </w:category>
        <w:types>
          <w:type w:val="bbPlcHdr"/>
        </w:types>
        <w:behaviors>
          <w:behavior w:val="content"/>
        </w:behaviors>
        <w:description w:val=""/>
        <w:guid w:val="{2987ed39-2ef5-4ae0-94c3-eca29e90e30d}"/>
      </w:docPartPr>
      <w:docPartBody>
        <w:p>
          <w:r>
            <w:rPr>
              <w:color w:val="808080"/>
            </w:rPr>
            <w:t>单击此处输入文字。</w:t>
          </w:r>
        </w:p>
      </w:docPartBody>
    </w:docPart>
    <w:docPart>
      <w:docPartPr>
        <w:name w:val="{b7996249-4f8e-4263-ba56-eee67b2c2594}"/>
        <w:style w:val=""/>
        <w:category>
          <w:name w:val="常规"/>
          <w:gallery w:val="placeholder"/>
        </w:category>
        <w:types>
          <w:type w:val="bbPlcHdr"/>
        </w:types>
        <w:behaviors>
          <w:behavior w:val="content"/>
        </w:behaviors>
        <w:description w:val=""/>
        <w:guid w:val="{b7996249-4f8e-4263-ba56-eee67b2c259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937</Words>
  <Characters>5343</Characters>
  <Lines>44</Lines>
  <Paragraphs>12</Paragraphs>
  <TotalTime>1</TotalTime>
  <ScaleCrop>false</ScaleCrop>
  <LinksUpToDate>false</LinksUpToDate>
  <CharactersWithSpaces>6268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2023-01-31T05:27:00Z</dcterms:created>
  <dc:creator>明天会更好</dc:creator>
  <cp:lastModifiedBy>user</cp:lastModifiedBy>
  <cp:lastPrinted>2024-01-24T03:09:00Z</cp:lastPrinted>
  <dcterms:modified xsi:type="dcterms:W3CDTF">2025-02-14T11:34:51Z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855E3294566B42B3AAD3106C8ECABF15</vt:lpwstr>
  </property>
  <property fmtid="{D5CDD505-2E9C-101B-9397-08002B2CF9AE}" pid="4" name="KSOTemplateDocerSaveRecord">
    <vt:lpwstr>eyJoZGlkIjoiNmVlMTEwZTRkZDY2MTg5ZjE2OTRhNGExYTZmMmFmNjUiLCJ1c2VySWQiOiIxMDU4NjczMDQ4In0=</vt:lpwstr>
  </property>
</Properties>
</file>