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06267"/>
      <w:bookmarkStart w:id="1" w:name="_Toc15378441"/>
      <w:bookmarkStart w:id="2" w:name="_Toc15377425"/>
      <w:bookmarkStart w:id="3" w:name="_Toc15377193"/>
      <w:bookmarkStart w:id="4" w:name="_Toc15396597"/>
      <w:bookmarkStart w:id="5" w:name="_Toc15396475"/>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adjustRightInd w:val="0"/>
        <w:snapToGrid w:val="0"/>
        <w:spacing w:line="360" w:lineRule="auto"/>
        <w:jc w:val="center"/>
        <w:outlineLvl w:val="0"/>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sz w:val="52"/>
          <w:szCs w:val="52"/>
        </w:rPr>
        <w:t>202</w:t>
      </w:r>
      <w:r>
        <w:rPr>
          <w:rFonts w:hint="eastAsia" w:ascii="方正小标宋简体" w:hAnsi="方正小标宋简体" w:eastAsia="方正小标宋简体" w:cs="方正小标宋简体"/>
          <w:sz w:val="52"/>
          <w:szCs w:val="52"/>
          <w:lang w:val="en-US" w:eastAsia="zh-CN"/>
        </w:rPr>
        <w:t>4</w:t>
      </w:r>
      <w:r>
        <w:rPr>
          <w:rFonts w:hint="eastAsia" w:ascii="方正小标宋简体" w:hAnsi="方正小标宋简体" w:eastAsia="方正小标宋简体" w:cs="方正小标宋简体"/>
          <w:sz w:val="52"/>
          <w:szCs w:val="52"/>
        </w:rPr>
        <w:t>年度</w:t>
      </w:r>
      <w:r>
        <w:rPr>
          <w:rFonts w:hint="eastAsia" w:ascii="方正小标宋简体" w:hAnsi="方正小标宋简体" w:eastAsia="方正小标宋简体" w:cs="方正小标宋简体"/>
          <w:sz w:val="52"/>
          <w:szCs w:val="52"/>
          <w:lang w:eastAsia="zh-CN"/>
        </w:rPr>
        <w:t>钒钛高新区管委会</w:t>
      </w:r>
    </w:p>
    <w:p>
      <w:pPr>
        <w:adjustRightInd w:val="0"/>
        <w:snapToGrid w:val="0"/>
        <w:spacing w:line="360" w:lineRule="auto"/>
        <w:jc w:val="center"/>
        <w:outlineLvl w:val="0"/>
        <w:rPr>
          <w:rFonts w:hint="eastAsia" w:ascii="Times New Roman" w:hAnsi="Times New Roman" w:eastAsia="方正小标宋简体"/>
          <w:lang w:val="en-US" w:eastAsia="zh-C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eastAsia" w:ascii="方正小标宋简体" w:hAnsi="方正小标宋简体" w:eastAsia="方正小标宋简体" w:cs="方正小标宋简体"/>
          <w:sz w:val="52"/>
          <w:szCs w:val="52"/>
          <w:lang w:eastAsia="zh-CN"/>
        </w:rPr>
        <w:t>部门决算公开编制说明</w:t>
      </w:r>
      <w:r>
        <w:rPr>
          <w:rFonts w:hint="eastAsia" w:ascii="方正小标宋简体" w:hAnsi="方正小标宋简体" w:eastAsia="方正小标宋简体" w:cs="方正小标宋简体"/>
          <w:sz w:val="52"/>
          <w:szCs w:val="52"/>
          <w:lang w:val="en-US" w:eastAsia="zh-CN"/>
        </w:rPr>
        <w:t xml:space="preserve"> </w:t>
      </w:r>
    </w:p>
    <w:bookmarkEnd w:id="0"/>
    <w:bookmarkEnd w:id="1"/>
    <w:bookmarkEnd w:id="2"/>
    <w:bookmarkEnd w:id="3"/>
    <w:bookmarkEnd w:id="4"/>
    <w:bookmarkEnd w:id="5"/>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w:t>
      </w:r>
      <w:r>
        <w:rPr>
          <w:rFonts w:hint="eastAsia" w:eastAsia="黑体"/>
          <w:color w:val="auto"/>
          <w:sz w:val="48"/>
          <w:szCs w:val="48"/>
          <w:highlight w:val="none"/>
          <w:lang w:val="en-US" w:eastAsia="zh-CN"/>
        </w:rPr>
        <w:t xml:space="preserve">  </w:t>
      </w:r>
      <w:r>
        <w:rPr>
          <w:rFonts w:hint="eastAsia" w:ascii="Times New Roman" w:hAnsi="Times New Roman" w:eastAsia="黑体"/>
          <w:color w:val="auto"/>
          <w:sz w:val="48"/>
          <w:szCs w:val="48"/>
          <w:highlight w:val="none"/>
        </w:rPr>
        <w:t>录</w:t>
      </w:r>
    </w:p>
    <w:p>
      <w:pPr>
        <w:widowControl/>
        <w:jc w:val="center"/>
        <w:rPr>
          <w:rFonts w:ascii="Times New Roman" w:hAnsi="Times New Roman" w:eastAsia="黑体" w:cstheme="minorBidi"/>
          <w:color w:val="auto"/>
          <w:sz w:val="28"/>
          <w:szCs w:val="28"/>
          <w:highlight w:val="none"/>
        </w:rPr>
      </w:pPr>
    </w:p>
    <w:p>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w:t>
      </w:r>
      <w:r>
        <w:rPr>
          <w:rFonts w:hint="default" w:ascii="Times New Roman" w:hAnsi="Times New Roman" w:eastAsia="仿宋_GB2312" w:cs="仿宋_GB2312"/>
          <w:color w:val="auto"/>
          <w:sz w:val="32"/>
          <w:szCs w:val="32"/>
          <w:highlight w:val="none"/>
          <w:lang w:val="en" w:eastAsia="zh-CN"/>
        </w:rPr>
        <w:t>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w:t>
      </w:r>
      <w:r>
        <w:rPr>
          <w:rFonts w:hint="default" w:ascii="Times New Roman" w:hAnsi="Times New Roman" w:eastAsia="仿宋_GB2312" w:cs="仿宋_GB2312"/>
          <w:color w:val="auto"/>
          <w:sz w:val="32"/>
          <w:szCs w:val="32"/>
          <w:highlight w:val="none"/>
          <w:lang w:val="en" w:eastAsia="zh-CN"/>
        </w:rPr>
        <w:t>9</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w:t>
      </w:r>
      <w:r>
        <w:rPr>
          <w:rFonts w:hint="default" w:ascii="Times New Roman" w:hAnsi="Times New Roman" w:eastAsia="仿宋_GB2312" w:cs="仿宋_GB2312"/>
          <w:color w:val="auto"/>
          <w:sz w:val="32"/>
          <w:szCs w:val="32"/>
          <w:highlight w:val="none"/>
          <w:lang w:val="en" w:eastAsia="zh-CN"/>
        </w:rPr>
        <w:t>18</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bookmarkStart w:id="63" w:name="_GoBack"/>
      <w:bookmarkEnd w:id="63"/>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第五部分 附表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2"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注：请部门根据实际注明页码</w:t>
      </w:r>
      <w:r>
        <w:rPr>
          <w:rFonts w:hint="eastAsia" w:ascii="Times New Roman" w:hAnsi="Times New Roman" w:eastAsia="仿宋_GB2312" w:cs="仿宋_GB2312"/>
          <w:b/>
          <w:bCs/>
          <w:color w:val="auto"/>
          <w:sz w:val="32"/>
          <w:szCs w:val="32"/>
          <w:highlight w:val="none"/>
          <w:lang w:eastAsia="zh-CN"/>
        </w:rPr>
        <w:t>）</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77196"/>
      <w:bookmarkStart w:id="7" w:name="_Toc15396599"/>
      <w:r>
        <w:rPr>
          <w:rFonts w:hint="eastAsia" w:ascii="Times New Roman" w:hAnsi="Times New Roman" w:eastAsia="仿宋_GB2312" w:cs="仿宋_GB2312"/>
          <w:b/>
          <w:color w:val="auto"/>
          <w:sz w:val="32"/>
          <w:szCs w:val="32"/>
          <w:highlight w:val="none"/>
        </w:rPr>
        <w:br w:type="page"/>
      </w:r>
    </w:p>
    <w:p>
      <w:pPr>
        <w:pStyle w:val="4"/>
        <w:jc w:val="center"/>
        <w:rPr>
          <w:rStyle w:val="30"/>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6"/>
      <w:bookmarkEnd w:id="7"/>
    </w:p>
    <w:p>
      <w:pPr>
        <w:widowControl/>
        <w:jc w:val="left"/>
        <w:rPr>
          <w:rFonts w:ascii="Times New Roman" w:hAnsi="Times New Roman" w:eastAsia="黑体"/>
          <w:color w:val="auto"/>
          <w:sz w:val="32"/>
          <w:szCs w:val="32"/>
          <w:highlight w:val="none"/>
        </w:rPr>
      </w:pPr>
    </w:p>
    <w:p>
      <w:pPr>
        <w:pStyle w:val="5"/>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主要职能。</w:t>
      </w:r>
    </w:p>
    <w:p>
      <w:pPr>
        <w:snapToGrid w:val="0"/>
        <w:spacing w:line="52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（一）贯彻执行党的路线、方针、政策和国家的法律、法规，贯彻落实市委、市政府的重要决策。</w:t>
      </w:r>
    </w:p>
    <w:p>
      <w:pPr>
        <w:snapToGrid w:val="0"/>
        <w:spacing w:line="52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（二）负责钒钛高新区党的建设、组织建设、党风廉政建设、精神文明建设和意识形态、对外宣传、群团等工作。负责钒钛高新区领导班子建设、干部队伍建设和人事人才管理工作。</w:t>
      </w:r>
    </w:p>
    <w:p>
      <w:pPr>
        <w:snapToGrid w:val="0"/>
        <w:spacing w:line="52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（三）负责拟订钒钛高新区经济社会发展总体规划。参与钒钛高新区的规划编制、实施等工作。</w:t>
      </w:r>
    </w:p>
    <w:p>
      <w:pPr>
        <w:snapToGrid w:val="0"/>
        <w:spacing w:line="52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（四）负责拟订钒钛高新区产业发展、对外开放、经济合作的政策。负责钒钛高新区统计、经济运行、投资促进等工作。负责招商引资、对外经济合作事项以及园区入驻企业（项目）的协调服务。</w:t>
      </w:r>
    </w:p>
    <w:p>
      <w:pPr>
        <w:snapToGrid w:val="0"/>
        <w:spacing w:line="52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（五）负责钒钛高新区的开发建设。负责钒钛高新区规划范围内的土地征收、拆迁安置等工作的协调。负责管理区域内社会事业的建设和管理。</w:t>
      </w:r>
    </w:p>
    <w:p>
      <w:pPr>
        <w:snapToGrid w:val="0"/>
        <w:spacing w:line="52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（六）受市政府委托，在管理区域内行使相关行政管理职能。承担权限范围内行政执法工作。</w:t>
      </w:r>
    </w:p>
    <w:p>
      <w:pPr>
        <w:snapToGrid w:val="0"/>
        <w:spacing w:line="52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（七）履行钒钛高新区的财政管理，负责财政金融政策落实及国有资产管理工作。</w:t>
      </w:r>
    </w:p>
    <w:p>
      <w:pPr>
        <w:snapToGrid w:val="0"/>
        <w:spacing w:line="52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（八）负责推进科技创新、产学研合作、科技成果转化等工作。负责引进国（境）外人才、智力工作及科技人才队伍建设工作。</w:t>
      </w:r>
    </w:p>
    <w:p>
      <w:pPr>
        <w:snapToGrid w:val="0"/>
        <w:spacing w:line="52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（九）负责权限范围内的安全生产和职业健康、生态环境保护、审批服务便民化等工作。</w:t>
      </w:r>
    </w:p>
    <w:p>
      <w:pPr>
        <w:snapToGrid w:val="0"/>
        <w:spacing w:line="52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（十）受市政府委托，管理相关乡镇和村（社区）及村民（居民）小组。</w:t>
      </w:r>
    </w:p>
    <w:p>
      <w:pPr>
        <w:numPr>
          <w:ilvl w:val="0"/>
          <w:numId w:val="0"/>
        </w:numPr>
        <w:rPr>
          <w:rFonts w:hint="eastAsia"/>
          <w:lang w:eastAsia="zh-CN"/>
        </w:rPr>
      </w:pPr>
      <w:r>
        <w:rPr>
          <w:rFonts w:hint="eastAsia" w:ascii="仿宋_GB2312" w:hAnsi="仿宋" w:eastAsia="仿宋_GB2312"/>
          <w:color w:val="000000" w:themeColor="text1"/>
          <w:sz w:val="32"/>
          <w:szCs w:val="32"/>
          <w:highlight w:val="none"/>
          <w14:textFill>
            <w14:solidFill>
              <w14:schemeClr w14:val="tx1"/>
            </w14:solidFill>
          </w14:textFill>
        </w:rPr>
        <w:t>（十一）完成市委、市政府交办的其他任务。</w:t>
      </w:r>
    </w:p>
    <w:p>
      <w:pPr>
        <w:pStyle w:val="5"/>
        <w:rPr>
          <w:rStyle w:val="31"/>
          <w:rFonts w:ascii="Times New Roman" w:hAnsi="Times New Roman"/>
          <w:b w:val="0"/>
          <w:bCs w:val="0"/>
          <w:color w:val="auto"/>
          <w:highlight w:val="none"/>
        </w:rPr>
      </w:pPr>
      <w:bookmarkStart w:id="8" w:name="_Toc15396601"/>
      <w:bookmarkStart w:id="9" w:name="_Toc15377200"/>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8"/>
      <w:bookmarkEnd w:id="9"/>
    </w:p>
    <w:p>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四川省攀枝花钒钛高新技术产业开发区管理委员会</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pPr>
        <w:widowControl/>
        <w:ind w:firstLine="640" w:firstLineChars="200"/>
        <w:jc w:val="left"/>
        <w:rPr>
          <w:rFonts w:ascii="Times New Roman" w:hAnsi="Times New Roman" w:eastAsia="仿宋"/>
          <w:color w:val="auto"/>
          <w:kern w:val="0"/>
          <w:sz w:val="32"/>
          <w:szCs w:val="32"/>
          <w:highlight w:val="none"/>
        </w:rPr>
      </w:pPr>
      <w:r>
        <w:rPr>
          <w:rFonts w:hint="eastAsia" w:ascii="仿宋_GB2312" w:hAnsi="仿宋_GB2312" w:eastAsia="仿宋_GB2312" w:cs="仿宋_GB2312"/>
          <w:sz w:val="32"/>
          <w:szCs w:val="32"/>
          <w:lang w:val="en-US" w:eastAsia="zh-CN"/>
        </w:rPr>
        <w:t>管委会内设：综合办公室、党群工作部（统战部）、科技创新和经济发展局、经济合作局、自然资源和建设管理局、综合行政执法局、应急管理局、社会管理局。</w:t>
      </w:r>
      <w:r>
        <w:rPr>
          <w:rFonts w:ascii="Times New Roman" w:hAnsi="Times New Roman" w:eastAsia="仿宋"/>
          <w:color w:val="auto"/>
          <w:sz w:val="32"/>
          <w:szCs w:val="32"/>
          <w:highlight w:val="none"/>
        </w:rPr>
        <w:br w:type="page"/>
      </w:r>
    </w:p>
    <w:p>
      <w:pPr>
        <w:pStyle w:val="4"/>
        <w:jc w:val="center"/>
        <w:rPr>
          <w:rFonts w:hint="eastAsia" w:ascii="Times New Roman" w:hAnsi="Times New Roman" w:eastAsia="方正小标宋简体" w:cs="方正小标宋简体"/>
          <w:b w:val="0"/>
          <w:color w:val="auto"/>
          <w:highlight w:val="none"/>
        </w:rPr>
      </w:pPr>
      <w:bookmarkStart w:id="10" w:name="_Toc15396602"/>
      <w:bookmarkStart w:id="11"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0"/>
      <w:bookmarkEnd w:id="11"/>
    </w:p>
    <w:p>
      <w:pPr>
        <w:rPr>
          <w:rFonts w:ascii="Times New Roman" w:hAnsi="Times New Roman"/>
          <w:color w:val="auto"/>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2" w:name="_Toc15396603"/>
      <w:bookmarkStart w:id="13"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12"/>
      <w:bookmarkEnd w:id="13"/>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36459.02</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20341.08</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35.81</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项目支出减少。</w:t>
      </w:r>
    </w:p>
    <w:p>
      <w:pPr>
        <w:pStyle w:val="2"/>
        <w:jc w:val="center"/>
        <w:rPr>
          <w:rFonts w:hint="eastAsia" w:ascii="仿宋" w:hAnsi="仿宋" w:eastAsia="仿宋" w:cs="仿宋"/>
          <w:sz w:val="32"/>
          <w:szCs w:val="32"/>
        </w:rPr>
      </w:pPr>
      <w:r>
        <w:drawing>
          <wp:inline distT="0" distB="0" distL="114300" distR="114300">
            <wp:extent cx="4572000" cy="3495040"/>
            <wp:effectExtent l="4445" t="4445" r="1460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4" w:name="_Toc15396604"/>
      <w:bookmarkStart w:id="15" w:name="_Toc15377206"/>
      <w:r>
        <w:rPr>
          <w:rFonts w:hint="eastAsia" w:ascii="Times New Roman" w:hAnsi="Times New Roman" w:eastAsia="黑体"/>
          <w:color w:val="auto"/>
          <w:sz w:val="32"/>
          <w:szCs w:val="32"/>
          <w:highlight w:val="none"/>
          <w:lang w:eastAsia="zh-CN"/>
        </w:rPr>
        <w:t>二、收入决算情况说明</w:t>
      </w:r>
      <w:bookmarkEnd w:id="14"/>
      <w:bookmarkEnd w:id="15"/>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36459.02万元，其中：一般公共预算财政拨款收入32885.34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90.19</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3573.68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9.8%</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（注：仅罗列本部门涉及的收入）</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1"/>
        <w:rPr>
          <w:rFonts w:hint="eastAsia"/>
          <w:lang w:eastAsia="zh-CN"/>
        </w:rPr>
      </w:pPr>
    </w:p>
    <w:p>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427855" cy="3209290"/>
            <wp:effectExtent l="4445" t="5080" r="6350" b="5080"/>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6" w:name="_Toc15377207"/>
      <w:bookmarkStart w:id="17"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16"/>
      <w:bookmarkEnd w:id="17"/>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36459.02</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2812.21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7.71</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33646.81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92.28</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（注：仅罗列本部门涉及的支出）</w:t>
      </w:r>
    </w:p>
    <w:p>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31"/>
          <w:rFonts w:ascii="Times New Roman" w:hAnsi="Times New Roman" w:eastAsia="黑体"/>
          <w:b w:val="0"/>
          <w:color w:val="auto"/>
          <w:highlight w:val="none"/>
        </w:rPr>
      </w:pPr>
      <w:bookmarkStart w:id="18" w:name="_Toc15396606"/>
      <w:bookmarkStart w:id="19" w:name="_Toc15377208"/>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18"/>
      <w:bookmarkEnd w:id="1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36459.02</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sz w:val="32"/>
          <w:szCs w:val="32"/>
          <w:highlight w:val="none"/>
          <w:lang w:val="en-US" w:eastAsia="zh-CN"/>
        </w:rPr>
        <w:t>20341.08</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35.81</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项目支出减少。</w:t>
      </w:r>
    </w:p>
    <w:p>
      <w:pP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72000" cy="3495040"/>
            <wp:effectExtent l="4445" t="4445" r="14605" b="5715"/>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outlineLvl w:val="1"/>
        <w:rPr>
          <w:rStyle w:val="31"/>
          <w:rFonts w:ascii="Times New Roman" w:hAnsi="Times New Roman" w:eastAsia="黑体"/>
          <w:b w:val="0"/>
          <w:color w:val="auto"/>
          <w:highlight w:val="none"/>
        </w:rPr>
      </w:pPr>
      <w:bookmarkStart w:id="20" w:name="_Toc15396607"/>
      <w:bookmarkStart w:id="21"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20"/>
      <w:bookmarkEnd w:id="21"/>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32885.34</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90.19</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%。与2023年度相比，一般公共预算财政拨款支出增加2607.78万元，增8.61%。主要变动原因是项目费用增加。</w:t>
      </w:r>
    </w:p>
    <w:p>
      <w:pPr>
        <w:rPr>
          <w:rFonts w:hint="eastAsia"/>
          <w:lang w:val="en-US" w:eastAsia="zh-CN"/>
        </w:rPr>
      </w:pPr>
    </w:p>
    <w:p>
      <w:pPr>
        <w:pStyle w:val="2"/>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72000" cy="2743200"/>
            <wp:effectExtent l="4445" t="4445" r="14605" b="1460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3"/>
        <w:rPr>
          <w:rFonts w:hint="eastAsia"/>
          <w:lang w:val="en-US" w:eastAsia="zh-CN"/>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2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3"/>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32885.34</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一般公共服务支出4661万元，占</w:t>
      </w:r>
      <w:r>
        <w:rPr>
          <w:rFonts w:hint="eastAsia" w:eastAsia="仿宋_GB2312" w:cs="仿宋_GB2312"/>
          <w:color w:val="auto"/>
          <w:kern w:val="2"/>
          <w:sz w:val="32"/>
          <w:szCs w:val="32"/>
          <w:highlight w:val="none"/>
          <w:lang w:val="en-US" w:eastAsia="zh-CN" w:bidi="ar-SA"/>
        </w:rPr>
        <w:t>14.17</w:t>
      </w:r>
      <w:r>
        <w:rPr>
          <w:rFonts w:hint="eastAsia" w:ascii="Times New Roman" w:hAnsi="Times New Roman" w:eastAsia="仿宋_GB2312" w:cs="仿宋_GB2312"/>
          <w:color w:val="auto"/>
          <w:kern w:val="2"/>
          <w:sz w:val="32"/>
          <w:szCs w:val="32"/>
          <w:highlight w:val="none"/>
          <w:lang w:val="en-US" w:eastAsia="zh-CN" w:bidi="ar-SA"/>
        </w:rPr>
        <w:t>%；公共安全支出</w:t>
      </w:r>
      <w:r>
        <w:rPr>
          <w:rFonts w:hint="eastAsia" w:eastAsia="仿宋_GB2312" w:cs="仿宋_GB2312"/>
          <w:color w:val="auto"/>
          <w:kern w:val="2"/>
          <w:sz w:val="32"/>
          <w:szCs w:val="32"/>
          <w:highlight w:val="none"/>
          <w:lang w:val="en-US" w:eastAsia="zh-CN" w:bidi="ar-SA"/>
        </w:rPr>
        <w:t>4万元，占0.01%；教育支出237.06万元，占0.72%；科学技术支出658.56万元，占2%；社会保障和就业支出392.88万元，占1.19%；节能环保支出3136.11万元，占9.54%；城乡社区支出11300.59万元，占34.36%；农林水支出177.96万元，占0.54%；交通运输支出3932.63万元，占11.96%；资源勘探工业信息等支出2531.9万元，占7.7%；商业服务业等支出109.38万元，占0.33%；自然资源海洋气象等支出29.54万元，占0.09%；住房保障支出1693.64万元，占5.15%；灾害防治及应急管理支出3910.09万元，占11.89%；其他110万元，占0.33%。</w:t>
      </w: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（注：仅罗列本部门涉及的全部功能分类科目，至类级）</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lang w:val="en-US" w:eastAsia="zh-CN"/>
        </w:rPr>
      </w:pPr>
      <w:r>
        <w:drawing>
          <wp:inline distT="0" distB="0" distL="114300" distR="114300">
            <wp:extent cx="5271770" cy="3006725"/>
            <wp:effectExtent l="5080" t="4445" r="19050" b="17780"/>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3"/>
        <w:rPr>
          <w:rFonts w:hint="eastAsia"/>
          <w:lang w:val="en-US" w:eastAsia="zh-CN"/>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2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5" w:name="_Toc15377444"/>
      <w:bookmarkStart w:id="26" w:name="_Toc15377213"/>
      <w:bookmarkStart w:id="27"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32885.34</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5"/>
      <w:bookmarkEnd w:id="26"/>
      <w:bookmarkEnd w:id="27"/>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一般公共服务支出2（类）</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4661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2.公共安全支出2（类）</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（项）: 支出决算为</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教育支出2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237.06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eastAsia" w:eastAsia="仿宋_GB2312" w:cs="仿宋_GB2312"/>
          <w:color w:val="auto"/>
          <w:kern w:val="2"/>
          <w:sz w:val="32"/>
          <w:szCs w:val="32"/>
          <w:highlight w:val="none"/>
          <w:lang w:val="en-US" w:eastAsia="zh-CN" w:bidi="ar-SA"/>
        </w:rPr>
        <w:t>科学技术支出2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658.56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eastAsia" w:eastAsia="仿宋_GB2312" w:cs="仿宋_GB2312"/>
          <w:color w:val="auto"/>
          <w:kern w:val="2"/>
          <w:sz w:val="32"/>
          <w:szCs w:val="32"/>
          <w:highlight w:val="none"/>
          <w:lang w:val="en-US" w:eastAsia="zh-CN" w:bidi="ar-SA"/>
        </w:rPr>
        <w:t>社会保障和就业支出2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392.88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w:t>
      </w:r>
      <w:r>
        <w:rPr>
          <w:rFonts w:hint="eastAsia" w:eastAsia="仿宋_GB2312" w:cs="仿宋_GB2312"/>
          <w:color w:val="auto"/>
          <w:kern w:val="2"/>
          <w:sz w:val="32"/>
          <w:szCs w:val="32"/>
          <w:highlight w:val="none"/>
          <w:lang w:val="en-US" w:eastAsia="zh-CN" w:bidi="ar-SA"/>
        </w:rPr>
        <w:t>节能环保支出2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3136.11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w:t>
      </w:r>
      <w:r>
        <w:rPr>
          <w:rFonts w:hint="eastAsia" w:eastAsia="仿宋_GB2312" w:cs="仿宋_GB2312"/>
          <w:color w:val="auto"/>
          <w:kern w:val="2"/>
          <w:sz w:val="32"/>
          <w:szCs w:val="32"/>
          <w:highlight w:val="none"/>
          <w:lang w:val="en-US" w:eastAsia="zh-CN" w:bidi="ar-SA"/>
        </w:rPr>
        <w:t>城乡社区支出2</w:t>
      </w:r>
      <w:r>
        <w:rPr>
          <w:rFonts w:hint="eastAsia" w:ascii="Times New Roman" w:hAnsi="Times New Roman" w:eastAsia="仿宋_GB2312" w:cs="仿宋_GB2312"/>
          <w:color w:val="auto"/>
          <w:kern w:val="2"/>
          <w:sz w:val="32"/>
          <w:szCs w:val="32"/>
          <w:highlight w:val="none"/>
          <w:lang w:val="en-US" w:eastAsia="zh-CN" w:bidi="ar-SA"/>
        </w:rPr>
        <w:t>（类）1（款）2（项）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11300.59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w:t>
      </w:r>
      <w:r>
        <w:rPr>
          <w:rFonts w:hint="eastAsia" w:eastAsia="仿宋_GB2312" w:cs="仿宋_GB2312"/>
          <w:color w:val="auto"/>
          <w:kern w:val="2"/>
          <w:sz w:val="32"/>
          <w:szCs w:val="32"/>
          <w:highlight w:val="none"/>
          <w:lang w:val="en-US" w:eastAsia="zh-CN" w:bidi="ar-SA"/>
        </w:rPr>
        <w:t>农林水支出2</w:t>
      </w:r>
      <w:r>
        <w:rPr>
          <w:rFonts w:hint="eastAsia" w:ascii="Times New Roman" w:hAnsi="Times New Roman" w:eastAsia="仿宋_GB2312" w:cs="仿宋_GB2312"/>
          <w:color w:val="auto"/>
          <w:kern w:val="2"/>
          <w:sz w:val="32"/>
          <w:szCs w:val="32"/>
          <w:highlight w:val="none"/>
          <w:lang w:val="en-US" w:eastAsia="zh-CN" w:bidi="ar-SA"/>
        </w:rPr>
        <w:t>（类）1（款）3（项）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177.96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w:t>
      </w:r>
      <w:r>
        <w:rPr>
          <w:rFonts w:hint="eastAsia" w:eastAsia="仿宋_GB2312" w:cs="仿宋_GB2312"/>
          <w:color w:val="auto"/>
          <w:kern w:val="2"/>
          <w:sz w:val="32"/>
          <w:szCs w:val="32"/>
          <w:highlight w:val="none"/>
          <w:lang w:val="en-US" w:eastAsia="zh-CN" w:bidi="ar-SA"/>
        </w:rPr>
        <w:t>交通运输支出2</w:t>
      </w:r>
      <w:r>
        <w:rPr>
          <w:rFonts w:hint="eastAsia" w:ascii="Times New Roman" w:hAnsi="Times New Roman" w:eastAsia="仿宋_GB2312" w:cs="仿宋_GB2312"/>
          <w:color w:val="auto"/>
          <w:kern w:val="2"/>
          <w:sz w:val="32"/>
          <w:szCs w:val="32"/>
          <w:highlight w:val="none"/>
          <w:lang w:val="en-US" w:eastAsia="zh-CN" w:bidi="ar-SA"/>
        </w:rPr>
        <w:t>（类）1（款）4（项）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3932.63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10.资源勘探工业信息等支出2（类）1（款）5（项）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2531.9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w:t>
      </w:r>
      <w:r>
        <w:rPr>
          <w:rFonts w:hint="eastAsia" w:eastAsia="仿宋_GB2312" w:cs="仿宋_GB2312"/>
          <w:color w:val="auto"/>
          <w:kern w:val="2"/>
          <w:sz w:val="32"/>
          <w:szCs w:val="32"/>
          <w:highlight w:val="none"/>
          <w:lang w:val="en-US" w:eastAsia="zh-CN" w:bidi="ar-SA"/>
        </w:rPr>
        <w:t>商业服务业等支出2</w:t>
      </w:r>
      <w:r>
        <w:rPr>
          <w:rFonts w:hint="eastAsia" w:ascii="Times New Roman" w:hAnsi="Times New Roman" w:eastAsia="仿宋_GB2312" w:cs="仿宋_GB2312"/>
          <w:color w:val="auto"/>
          <w:kern w:val="2"/>
          <w:sz w:val="32"/>
          <w:szCs w:val="32"/>
          <w:highlight w:val="none"/>
          <w:lang w:val="en-US" w:eastAsia="zh-CN" w:bidi="ar-SA"/>
        </w:rPr>
        <w:t>（类）1（款）6（项）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109.38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w:t>
      </w:r>
      <w:r>
        <w:rPr>
          <w:rFonts w:hint="eastAsia" w:eastAsia="仿宋_GB2312" w:cs="仿宋_GB2312"/>
          <w:color w:val="auto"/>
          <w:kern w:val="2"/>
          <w:sz w:val="32"/>
          <w:szCs w:val="32"/>
          <w:highlight w:val="none"/>
          <w:lang w:val="en-US" w:eastAsia="zh-CN" w:bidi="ar-SA"/>
        </w:rPr>
        <w:t>自然资源海洋气象等支出2</w:t>
      </w:r>
      <w:r>
        <w:rPr>
          <w:rFonts w:hint="eastAsia" w:ascii="Times New Roman" w:hAnsi="Times New Roman" w:eastAsia="仿宋_GB2312" w:cs="仿宋_GB2312"/>
          <w:color w:val="auto"/>
          <w:kern w:val="2"/>
          <w:sz w:val="32"/>
          <w:szCs w:val="32"/>
          <w:highlight w:val="none"/>
          <w:lang w:val="en-US" w:eastAsia="zh-CN" w:bidi="ar-SA"/>
        </w:rPr>
        <w:t>（类）2（款）0（项）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29.54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w:t>
      </w:r>
      <w:r>
        <w:rPr>
          <w:rFonts w:hint="eastAsia" w:eastAsia="仿宋_GB2312" w:cs="仿宋_GB2312"/>
          <w:color w:val="auto"/>
          <w:kern w:val="2"/>
          <w:sz w:val="32"/>
          <w:szCs w:val="32"/>
          <w:highlight w:val="none"/>
          <w:lang w:val="en-US" w:eastAsia="zh-CN" w:bidi="ar-SA"/>
        </w:rPr>
        <w:t>住房保障支出2</w:t>
      </w:r>
      <w:r>
        <w:rPr>
          <w:rFonts w:hint="eastAsia" w:ascii="Times New Roman" w:hAnsi="Times New Roman" w:eastAsia="仿宋_GB2312" w:cs="仿宋_GB2312"/>
          <w:color w:val="auto"/>
          <w:kern w:val="2"/>
          <w:sz w:val="32"/>
          <w:szCs w:val="32"/>
          <w:highlight w:val="none"/>
          <w:lang w:val="en-US" w:eastAsia="zh-CN" w:bidi="ar-SA"/>
        </w:rPr>
        <w:t>（类）2（款）1（项）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1693.64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w:t>
      </w:r>
      <w:r>
        <w:rPr>
          <w:rFonts w:hint="eastAsia" w:eastAsia="仿宋_GB2312" w:cs="仿宋_GB2312"/>
          <w:color w:val="auto"/>
          <w:kern w:val="2"/>
          <w:sz w:val="32"/>
          <w:szCs w:val="32"/>
          <w:highlight w:val="none"/>
          <w:lang w:val="en-US" w:eastAsia="zh-CN" w:bidi="ar-SA"/>
        </w:rPr>
        <w:t>灾害防治及应急管理支出2</w:t>
      </w:r>
      <w:r>
        <w:rPr>
          <w:rFonts w:hint="eastAsia" w:ascii="Times New Roman" w:hAnsi="Times New Roman" w:eastAsia="仿宋_GB2312" w:cs="仿宋_GB2312"/>
          <w:color w:val="auto"/>
          <w:kern w:val="2"/>
          <w:sz w:val="32"/>
          <w:szCs w:val="32"/>
          <w:highlight w:val="none"/>
          <w:lang w:val="en-US" w:eastAsia="zh-CN" w:bidi="ar-SA"/>
        </w:rPr>
        <w:t>（类）2（款）4（项）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3910.09</w:t>
      </w:r>
      <w:r>
        <w:rPr>
          <w:rFonts w:hint="eastAsia" w:ascii="Times New Roman" w:hAnsi="Times New Roman" w:eastAsia="仿宋_GB2312" w:cs="仿宋_GB2312"/>
          <w:color w:val="auto"/>
          <w:kern w:val="2"/>
          <w:sz w:val="32"/>
          <w:szCs w:val="32"/>
          <w:highlight w:val="none"/>
          <w:lang w:val="en-US" w:eastAsia="zh-CN" w:bidi="ar-SA"/>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w:t>
      </w:r>
      <w:r>
        <w:rPr>
          <w:rFonts w:hint="eastAsia" w:eastAsia="仿宋_GB2312" w:cs="仿宋_GB2312"/>
          <w:color w:val="auto"/>
          <w:kern w:val="2"/>
          <w:sz w:val="32"/>
          <w:szCs w:val="32"/>
          <w:highlight w:val="none"/>
          <w:lang w:val="en-US" w:eastAsia="zh-CN" w:bidi="ar-SA"/>
        </w:rPr>
        <w:t>其他支出2</w:t>
      </w:r>
      <w:r>
        <w:rPr>
          <w:rFonts w:hint="eastAsia" w:ascii="Times New Roman" w:hAnsi="Times New Roman" w:eastAsia="仿宋_GB2312" w:cs="仿宋_GB2312"/>
          <w:color w:val="auto"/>
          <w:kern w:val="2"/>
          <w:sz w:val="32"/>
          <w:szCs w:val="32"/>
          <w:highlight w:val="none"/>
          <w:lang w:val="en-US" w:eastAsia="zh-CN" w:bidi="ar-SA"/>
        </w:rPr>
        <w:t>（类）2（款）9（项）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110</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pPr>
        <w:pStyle w:val="2"/>
        <w:rPr>
          <w:rFonts w:hint="eastAsia"/>
          <w:lang w:val="en-US" w:eastAsia="zh-CN"/>
        </w:rPr>
      </w:pP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（注：仅罗列本部门涉及的全部功能分类科目，至项级。上述“预算”口径为全年预算数。增减变动原因为决算数&lt;项级&gt;和全年预算数&lt;项级&gt;比较，与预算数持平可以不写原因）</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tabs>
          <w:tab w:val="right" w:pos="8306"/>
        </w:tabs>
        <w:spacing w:line="600" w:lineRule="exact"/>
        <w:ind w:firstLine="640"/>
        <w:outlineLvl w:val="1"/>
        <w:rPr>
          <w:rStyle w:val="31"/>
          <w:rFonts w:ascii="Times New Roman" w:hAnsi="Times New Roman"/>
          <w:color w:val="auto"/>
          <w:highlight w:val="none"/>
        </w:rPr>
      </w:pPr>
      <w:bookmarkStart w:id="28" w:name="_Toc15396608"/>
      <w:bookmarkStart w:id="29"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28"/>
      <w:bookmarkEnd w:id="29"/>
      <w:r>
        <w:rPr>
          <w:rStyle w:val="31"/>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2812.21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2508.4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w:t>
      </w:r>
      <w:r>
        <w:rPr>
          <w:rFonts w:hint="eastAsia" w:eastAsia="仿宋_GB2312" w:cs="仿宋_GB2312"/>
          <w:color w:val="auto"/>
          <w:kern w:val="2"/>
          <w:sz w:val="32"/>
          <w:szCs w:val="32"/>
          <w:highlight w:val="none"/>
          <w:lang w:val="en-US" w:eastAsia="zh-CN" w:bidi="ar-SA"/>
        </w:rPr>
        <w:t>478.43万元</w:t>
      </w:r>
      <w:r>
        <w:rPr>
          <w:rFonts w:hint="eastAsia" w:ascii="Times New Roman" w:hAnsi="Times New Roman" w:eastAsia="仿宋_GB2312" w:cs="仿宋_GB2312"/>
          <w:color w:val="auto"/>
          <w:kern w:val="2"/>
          <w:sz w:val="32"/>
          <w:szCs w:val="32"/>
          <w:highlight w:val="none"/>
          <w:lang w:val="en-US" w:eastAsia="zh-CN" w:bidi="ar-SA"/>
        </w:rPr>
        <w:t>、津贴补贴</w:t>
      </w:r>
      <w:r>
        <w:rPr>
          <w:rFonts w:hint="eastAsia" w:eastAsia="仿宋_GB2312" w:cs="仿宋_GB2312"/>
          <w:color w:val="auto"/>
          <w:kern w:val="2"/>
          <w:sz w:val="32"/>
          <w:szCs w:val="32"/>
          <w:highlight w:val="none"/>
          <w:lang w:val="en-US" w:eastAsia="zh-CN" w:bidi="ar-SA"/>
        </w:rPr>
        <w:t>579.11万元</w:t>
      </w:r>
      <w:r>
        <w:rPr>
          <w:rFonts w:hint="eastAsia" w:ascii="Times New Roman" w:hAnsi="Times New Roman" w:eastAsia="仿宋_GB2312" w:cs="仿宋_GB2312"/>
          <w:color w:val="auto"/>
          <w:kern w:val="2"/>
          <w:sz w:val="32"/>
          <w:szCs w:val="32"/>
          <w:highlight w:val="none"/>
          <w:lang w:val="en-US" w:eastAsia="zh-CN" w:bidi="ar-SA"/>
        </w:rPr>
        <w:t>、奖金</w:t>
      </w:r>
      <w:r>
        <w:rPr>
          <w:rFonts w:hint="eastAsia" w:eastAsia="仿宋_GB2312" w:cs="仿宋_GB2312"/>
          <w:color w:val="auto"/>
          <w:kern w:val="2"/>
          <w:sz w:val="32"/>
          <w:szCs w:val="32"/>
          <w:highlight w:val="none"/>
          <w:lang w:val="en-US" w:eastAsia="zh-CN" w:bidi="ar-SA"/>
        </w:rPr>
        <w:t>441.15万元</w:t>
      </w:r>
      <w:r>
        <w:rPr>
          <w:rFonts w:hint="eastAsia" w:ascii="Times New Roman" w:hAnsi="Times New Roman" w:eastAsia="仿宋_GB2312" w:cs="仿宋_GB2312"/>
          <w:color w:val="auto"/>
          <w:kern w:val="2"/>
          <w:sz w:val="32"/>
          <w:szCs w:val="32"/>
          <w:highlight w:val="none"/>
          <w:lang w:val="en-US" w:eastAsia="zh-CN" w:bidi="ar-SA"/>
        </w:rPr>
        <w:t>、伙食补助费、绩效工资</w:t>
      </w:r>
      <w:r>
        <w:rPr>
          <w:rFonts w:hint="eastAsia" w:eastAsia="仿宋_GB2312" w:cs="仿宋_GB2312"/>
          <w:color w:val="auto"/>
          <w:kern w:val="2"/>
          <w:sz w:val="32"/>
          <w:szCs w:val="32"/>
          <w:highlight w:val="none"/>
          <w:lang w:val="en-US" w:eastAsia="zh-CN" w:bidi="ar-SA"/>
        </w:rPr>
        <w:t>196.88万元</w:t>
      </w:r>
      <w:r>
        <w:rPr>
          <w:rFonts w:hint="eastAsia" w:ascii="Times New Roman" w:hAnsi="Times New Roman" w:eastAsia="仿宋_GB2312" w:cs="仿宋_GB2312"/>
          <w:color w:val="auto"/>
          <w:kern w:val="2"/>
          <w:sz w:val="32"/>
          <w:szCs w:val="32"/>
          <w:highlight w:val="none"/>
          <w:lang w:val="en-US" w:eastAsia="zh-CN" w:bidi="ar-SA"/>
        </w:rPr>
        <w:t>、机关事业单位基本养老保险缴费</w:t>
      </w:r>
      <w:r>
        <w:rPr>
          <w:rFonts w:hint="eastAsia" w:eastAsia="仿宋_GB2312" w:cs="仿宋_GB2312"/>
          <w:color w:val="auto"/>
          <w:kern w:val="2"/>
          <w:sz w:val="32"/>
          <w:szCs w:val="32"/>
          <w:highlight w:val="none"/>
          <w:lang w:val="en-US" w:eastAsia="zh-CN" w:bidi="ar-SA"/>
        </w:rPr>
        <w:t>208.86万元</w:t>
      </w:r>
      <w:r>
        <w:rPr>
          <w:rFonts w:hint="eastAsia" w:ascii="Times New Roman" w:hAnsi="Times New Roman" w:eastAsia="仿宋_GB2312" w:cs="仿宋_GB2312"/>
          <w:color w:val="auto"/>
          <w:kern w:val="2"/>
          <w:sz w:val="32"/>
          <w:szCs w:val="32"/>
          <w:highlight w:val="none"/>
          <w:lang w:val="en-US" w:eastAsia="zh-CN" w:bidi="ar-SA"/>
        </w:rPr>
        <w:t>、职业年金缴费</w:t>
      </w:r>
      <w:r>
        <w:rPr>
          <w:rFonts w:hint="eastAsia" w:eastAsia="仿宋_GB2312" w:cs="仿宋_GB2312"/>
          <w:color w:val="auto"/>
          <w:kern w:val="2"/>
          <w:sz w:val="32"/>
          <w:szCs w:val="32"/>
          <w:highlight w:val="none"/>
          <w:lang w:val="en-US" w:eastAsia="zh-CN" w:bidi="ar-SA"/>
        </w:rPr>
        <w:t>95.12万元</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基本医疗保险缴费113.2万元、公务员医疗缴费75.28万元、</w:t>
      </w:r>
      <w:r>
        <w:rPr>
          <w:rFonts w:hint="eastAsia" w:ascii="Times New Roman" w:hAnsi="Times New Roman" w:eastAsia="仿宋_GB2312" w:cs="仿宋_GB2312"/>
          <w:color w:val="auto"/>
          <w:kern w:val="2"/>
          <w:sz w:val="32"/>
          <w:szCs w:val="32"/>
          <w:highlight w:val="none"/>
          <w:lang w:val="en-US" w:eastAsia="zh-CN" w:bidi="ar-SA"/>
        </w:rPr>
        <w:t>其他社会保障缴费</w:t>
      </w:r>
      <w:r>
        <w:rPr>
          <w:rFonts w:hint="eastAsia" w:eastAsia="仿宋_GB2312" w:cs="仿宋_GB2312"/>
          <w:color w:val="auto"/>
          <w:kern w:val="2"/>
          <w:sz w:val="32"/>
          <w:szCs w:val="32"/>
          <w:highlight w:val="none"/>
          <w:lang w:val="en-US" w:eastAsia="zh-CN" w:bidi="ar-SA"/>
        </w:rPr>
        <w:t>5.2万元</w:t>
      </w:r>
      <w:r>
        <w:rPr>
          <w:rFonts w:hint="eastAsia" w:ascii="Times New Roman" w:hAnsi="Times New Roman" w:eastAsia="仿宋_GB2312" w:cs="仿宋_GB2312"/>
          <w:color w:val="auto"/>
          <w:kern w:val="2"/>
          <w:sz w:val="32"/>
          <w:szCs w:val="32"/>
          <w:highlight w:val="none"/>
          <w:lang w:val="en-US" w:eastAsia="zh-CN" w:bidi="ar-SA"/>
        </w:rPr>
        <w:t>、其他工资福利支出</w:t>
      </w:r>
      <w:r>
        <w:rPr>
          <w:rFonts w:hint="eastAsia" w:eastAsia="仿宋_GB2312" w:cs="仿宋_GB2312"/>
          <w:color w:val="auto"/>
          <w:kern w:val="2"/>
          <w:sz w:val="32"/>
          <w:szCs w:val="32"/>
          <w:highlight w:val="none"/>
          <w:lang w:val="en-US" w:eastAsia="zh-CN" w:bidi="ar-SA"/>
        </w:rPr>
        <w:t>55.64万元</w:t>
      </w:r>
      <w:r>
        <w:rPr>
          <w:rFonts w:hint="eastAsia" w:ascii="Times New Roman" w:hAnsi="Times New Roman" w:eastAsia="仿宋_GB2312" w:cs="仿宋_GB2312"/>
          <w:color w:val="auto"/>
          <w:kern w:val="2"/>
          <w:sz w:val="32"/>
          <w:szCs w:val="32"/>
          <w:highlight w:val="none"/>
          <w:lang w:val="en-US" w:eastAsia="zh-CN" w:bidi="ar-SA"/>
        </w:rPr>
        <w:t>、生活补助</w:t>
      </w:r>
      <w:r>
        <w:rPr>
          <w:rFonts w:hint="eastAsia" w:eastAsia="仿宋_GB2312" w:cs="仿宋_GB2312"/>
          <w:color w:val="auto"/>
          <w:kern w:val="2"/>
          <w:sz w:val="32"/>
          <w:szCs w:val="32"/>
          <w:highlight w:val="none"/>
          <w:lang w:val="en-US" w:eastAsia="zh-CN" w:bidi="ar-SA"/>
        </w:rPr>
        <w:t>75.73万元</w:t>
      </w:r>
      <w:r>
        <w:rPr>
          <w:rFonts w:hint="eastAsia" w:ascii="Times New Roman" w:hAnsi="Times New Roman" w:eastAsia="仿宋_GB2312" w:cs="仿宋_GB2312"/>
          <w:color w:val="auto"/>
          <w:kern w:val="2"/>
          <w:sz w:val="32"/>
          <w:szCs w:val="32"/>
          <w:highlight w:val="none"/>
          <w:lang w:val="en-US" w:eastAsia="zh-CN" w:bidi="ar-SA"/>
        </w:rPr>
        <w:t>、医疗费补助</w:t>
      </w:r>
      <w:r>
        <w:rPr>
          <w:rFonts w:hint="eastAsia" w:eastAsia="仿宋_GB2312" w:cs="仿宋_GB2312"/>
          <w:color w:val="auto"/>
          <w:kern w:val="2"/>
          <w:sz w:val="32"/>
          <w:szCs w:val="32"/>
          <w:highlight w:val="none"/>
          <w:lang w:val="en-US" w:eastAsia="zh-CN" w:bidi="ar-SA"/>
        </w:rPr>
        <w:t>13.13万元</w:t>
      </w:r>
      <w:r>
        <w:rPr>
          <w:rFonts w:hint="eastAsia" w:ascii="Times New Roman" w:hAnsi="Times New Roman" w:eastAsia="仿宋_GB2312" w:cs="仿宋_GB2312"/>
          <w:color w:val="auto"/>
          <w:kern w:val="2"/>
          <w:sz w:val="32"/>
          <w:szCs w:val="32"/>
          <w:highlight w:val="none"/>
          <w:lang w:val="en-US" w:eastAsia="zh-CN" w:bidi="ar-SA"/>
        </w:rPr>
        <w:t>、住房公积金</w:t>
      </w:r>
      <w:r>
        <w:rPr>
          <w:rFonts w:hint="eastAsia" w:eastAsia="仿宋_GB2312" w:cs="仿宋_GB2312"/>
          <w:color w:val="auto"/>
          <w:kern w:val="2"/>
          <w:sz w:val="32"/>
          <w:szCs w:val="32"/>
          <w:highlight w:val="none"/>
          <w:lang w:val="en-US" w:eastAsia="zh-CN" w:bidi="ar-SA"/>
        </w:rPr>
        <w:t>170.66万元</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303.81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w:t>
      </w:r>
      <w:r>
        <w:rPr>
          <w:rFonts w:hint="eastAsia" w:eastAsia="仿宋_GB2312" w:cs="仿宋_GB2312"/>
          <w:color w:val="auto"/>
          <w:kern w:val="2"/>
          <w:sz w:val="32"/>
          <w:szCs w:val="32"/>
          <w:highlight w:val="none"/>
          <w:lang w:val="en-US" w:eastAsia="zh-CN" w:bidi="ar-SA"/>
        </w:rPr>
        <w:t>104.93万元</w:t>
      </w:r>
      <w:r>
        <w:rPr>
          <w:rFonts w:hint="eastAsia" w:ascii="Times New Roman" w:hAnsi="Times New Roman" w:eastAsia="仿宋_GB2312" w:cs="仿宋_GB2312"/>
          <w:color w:val="auto"/>
          <w:kern w:val="2"/>
          <w:sz w:val="32"/>
          <w:szCs w:val="32"/>
          <w:highlight w:val="none"/>
          <w:lang w:val="en-US" w:eastAsia="zh-CN" w:bidi="ar-SA"/>
        </w:rPr>
        <w:t>、水费</w:t>
      </w:r>
      <w:r>
        <w:rPr>
          <w:rFonts w:hint="eastAsia" w:eastAsia="仿宋_GB2312" w:cs="仿宋_GB2312"/>
          <w:color w:val="auto"/>
          <w:kern w:val="2"/>
          <w:sz w:val="32"/>
          <w:szCs w:val="32"/>
          <w:highlight w:val="none"/>
          <w:lang w:val="en-US" w:eastAsia="zh-CN" w:bidi="ar-SA"/>
        </w:rPr>
        <w:t>2.82万元</w:t>
      </w:r>
      <w:r>
        <w:rPr>
          <w:rFonts w:hint="eastAsia" w:ascii="Times New Roman" w:hAnsi="Times New Roman" w:eastAsia="仿宋_GB2312" w:cs="仿宋_GB2312"/>
          <w:color w:val="auto"/>
          <w:kern w:val="2"/>
          <w:sz w:val="32"/>
          <w:szCs w:val="32"/>
          <w:highlight w:val="none"/>
          <w:lang w:val="en-US" w:eastAsia="zh-CN" w:bidi="ar-SA"/>
        </w:rPr>
        <w:t>、电费</w:t>
      </w:r>
      <w:r>
        <w:rPr>
          <w:rFonts w:hint="eastAsia" w:eastAsia="仿宋_GB2312" w:cs="仿宋_GB2312"/>
          <w:color w:val="auto"/>
          <w:kern w:val="2"/>
          <w:sz w:val="32"/>
          <w:szCs w:val="32"/>
          <w:highlight w:val="none"/>
          <w:lang w:val="en-US" w:eastAsia="zh-CN" w:bidi="ar-SA"/>
        </w:rPr>
        <w:t>13.21万元</w:t>
      </w:r>
      <w:r>
        <w:rPr>
          <w:rFonts w:hint="eastAsia" w:ascii="Times New Roman" w:hAnsi="Times New Roman" w:eastAsia="仿宋_GB2312" w:cs="仿宋_GB2312"/>
          <w:color w:val="auto"/>
          <w:kern w:val="2"/>
          <w:sz w:val="32"/>
          <w:szCs w:val="32"/>
          <w:highlight w:val="none"/>
          <w:lang w:val="en-US" w:eastAsia="zh-CN" w:bidi="ar-SA"/>
        </w:rPr>
        <w:t>、邮电费</w:t>
      </w:r>
      <w:r>
        <w:rPr>
          <w:rFonts w:hint="eastAsia" w:eastAsia="仿宋_GB2312" w:cs="仿宋_GB2312"/>
          <w:color w:val="auto"/>
          <w:kern w:val="2"/>
          <w:sz w:val="32"/>
          <w:szCs w:val="32"/>
          <w:highlight w:val="none"/>
          <w:lang w:val="en-US" w:eastAsia="zh-CN" w:bidi="ar-SA"/>
        </w:rPr>
        <w:t>8.7万元</w:t>
      </w:r>
      <w:r>
        <w:rPr>
          <w:rFonts w:hint="eastAsia" w:ascii="Times New Roman" w:hAnsi="Times New Roman" w:eastAsia="仿宋_GB2312" w:cs="仿宋_GB2312"/>
          <w:color w:val="auto"/>
          <w:kern w:val="2"/>
          <w:sz w:val="32"/>
          <w:szCs w:val="32"/>
          <w:highlight w:val="none"/>
          <w:lang w:val="en-US" w:eastAsia="zh-CN" w:bidi="ar-SA"/>
        </w:rPr>
        <w:t>、差旅费</w:t>
      </w:r>
      <w:r>
        <w:rPr>
          <w:rFonts w:hint="eastAsia" w:eastAsia="仿宋_GB2312" w:cs="仿宋_GB2312"/>
          <w:color w:val="auto"/>
          <w:kern w:val="2"/>
          <w:sz w:val="32"/>
          <w:szCs w:val="32"/>
          <w:highlight w:val="none"/>
          <w:lang w:val="en-US" w:eastAsia="zh-CN" w:bidi="ar-SA"/>
        </w:rPr>
        <w:t>46.7万元</w:t>
      </w:r>
      <w:r>
        <w:rPr>
          <w:rFonts w:hint="eastAsia" w:ascii="Times New Roman" w:hAnsi="Times New Roman" w:eastAsia="仿宋_GB2312" w:cs="仿宋_GB2312"/>
          <w:color w:val="auto"/>
          <w:kern w:val="2"/>
          <w:sz w:val="32"/>
          <w:szCs w:val="32"/>
          <w:highlight w:val="none"/>
          <w:lang w:val="en-US" w:eastAsia="zh-CN" w:bidi="ar-SA"/>
        </w:rPr>
        <w:t>、因公出国（境）费用</w:t>
      </w:r>
      <w:r>
        <w:rPr>
          <w:rFonts w:hint="eastAsia" w:eastAsia="仿宋_GB2312" w:cs="仿宋_GB2312"/>
          <w:color w:val="auto"/>
          <w:kern w:val="2"/>
          <w:sz w:val="32"/>
          <w:szCs w:val="32"/>
          <w:highlight w:val="none"/>
          <w:lang w:val="en-US" w:eastAsia="zh-CN" w:bidi="ar-SA"/>
        </w:rPr>
        <w:t>6.48万元</w:t>
      </w:r>
      <w:r>
        <w:rPr>
          <w:rFonts w:hint="eastAsia" w:ascii="Times New Roman" w:hAnsi="Times New Roman" w:eastAsia="仿宋_GB2312" w:cs="仿宋_GB2312"/>
          <w:color w:val="auto"/>
          <w:kern w:val="2"/>
          <w:sz w:val="32"/>
          <w:szCs w:val="32"/>
          <w:highlight w:val="none"/>
          <w:lang w:val="en-US" w:eastAsia="zh-CN" w:bidi="ar-SA"/>
        </w:rPr>
        <w:t>、公务接待费</w:t>
      </w:r>
      <w:r>
        <w:rPr>
          <w:rFonts w:hint="eastAsia" w:eastAsia="仿宋_GB2312" w:cs="仿宋_GB2312"/>
          <w:color w:val="auto"/>
          <w:kern w:val="2"/>
          <w:sz w:val="32"/>
          <w:szCs w:val="32"/>
          <w:highlight w:val="none"/>
          <w:lang w:val="en-US" w:eastAsia="zh-CN" w:bidi="ar-SA"/>
        </w:rPr>
        <w:t>4.42万元</w:t>
      </w:r>
      <w:r>
        <w:rPr>
          <w:rFonts w:hint="eastAsia" w:ascii="Times New Roman" w:hAnsi="Times New Roman" w:eastAsia="仿宋_GB2312" w:cs="仿宋_GB2312"/>
          <w:color w:val="auto"/>
          <w:kern w:val="2"/>
          <w:sz w:val="32"/>
          <w:szCs w:val="32"/>
          <w:highlight w:val="none"/>
          <w:lang w:val="en-US" w:eastAsia="zh-CN" w:bidi="ar-SA"/>
        </w:rPr>
        <w:t>、工会经费</w:t>
      </w:r>
      <w:r>
        <w:rPr>
          <w:rFonts w:hint="eastAsia" w:eastAsia="仿宋_GB2312" w:cs="仿宋_GB2312"/>
          <w:color w:val="auto"/>
          <w:kern w:val="2"/>
          <w:sz w:val="32"/>
          <w:szCs w:val="32"/>
          <w:highlight w:val="none"/>
          <w:lang w:val="en-US" w:eastAsia="zh-CN" w:bidi="ar-SA"/>
        </w:rPr>
        <w:t>28.46万元</w:t>
      </w:r>
      <w:r>
        <w:rPr>
          <w:rFonts w:hint="eastAsia" w:ascii="Times New Roman" w:hAnsi="Times New Roman" w:eastAsia="仿宋_GB2312" w:cs="仿宋_GB2312"/>
          <w:color w:val="auto"/>
          <w:kern w:val="2"/>
          <w:sz w:val="32"/>
          <w:szCs w:val="32"/>
          <w:highlight w:val="none"/>
          <w:lang w:val="en-US" w:eastAsia="zh-CN" w:bidi="ar-SA"/>
        </w:rPr>
        <w:t>、公务用车运行维护费</w:t>
      </w:r>
      <w:r>
        <w:rPr>
          <w:rFonts w:hint="eastAsia" w:eastAsia="仿宋_GB2312" w:cs="仿宋_GB2312"/>
          <w:color w:val="auto"/>
          <w:kern w:val="2"/>
          <w:sz w:val="32"/>
          <w:szCs w:val="32"/>
          <w:highlight w:val="none"/>
          <w:lang w:val="en-US" w:eastAsia="zh-CN" w:bidi="ar-SA"/>
        </w:rPr>
        <w:t>13.66万元</w:t>
      </w:r>
      <w:r>
        <w:rPr>
          <w:rFonts w:hint="eastAsia" w:ascii="Times New Roman" w:hAnsi="Times New Roman" w:eastAsia="仿宋_GB2312" w:cs="仿宋_GB2312"/>
          <w:color w:val="auto"/>
          <w:kern w:val="2"/>
          <w:sz w:val="32"/>
          <w:szCs w:val="32"/>
          <w:highlight w:val="none"/>
          <w:lang w:val="en-US" w:eastAsia="zh-CN" w:bidi="ar-SA"/>
        </w:rPr>
        <w:t>、其他交通费</w:t>
      </w:r>
      <w:r>
        <w:rPr>
          <w:rFonts w:hint="eastAsia" w:eastAsia="仿宋_GB2312" w:cs="仿宋_GB2312"/>
          <w:color w:val="auto"/>
          <w:kern w:val="2"/>
          <w:sz w:val="32"/>
          <w:szCs w:val="32"/>
          <w:highlight w:val="none"/>
          <w:lang w:val="en-US" w:eastAsia="zh-CN" w:bidi="ar-SA"/>
        </w:rPr>
        <w:t>74.36万元</w:t>
      </w:r>
      <w:r>
        <w:rPr>
          <w:rFonts w:hint="eastAsia" w:ascii="Times New Roman" w:hAnsi="Times New Roman" w:eastAsia="仿宋_GB2312" w:cs="仿宋_GB2312"/>
          <w:color w:val="auto"/>
          <w:kern w:val="2"/>
          <w:sz w:val="32"/>
          <w:szCs w:val="32"/>
          <w:highlight w:val="none"/>
          <w:lang w:val="en-US" w:eastAsia="zh-CN" w:bidi="ar-SA"/>
        </w:rPr>
        <w:t>、其他商品和服务支出</w:t>
      </w:r>
      <w:r>
        <w:rPr>
          <w:rFonts w:hint="eastAsia" w:eastAsia="仿宋_GB2312" w:cs="仿宋_GB2312"/>
          <w:color w:val="auto"/>
          <w:kern w:val="2"/>
          <w:sz w:val="32"/>
          <w:szCs w:val="32"/>
          <w:highlight w:val="none"/>
          <w:lang w:val="en-US" w:eastAsia="zh-CN" w:bidi="ar-SA"/>
        </w:rPr>
        <w:t>0.04万元</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（注：仅罗列本部门实际支出涉及的经济分类科目）</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outlineLvl w:val="1"/>
        <w:rPr>
          <w:rStyle w:val="31"/>
          <w:rFonts w:ascii="Times New Roman" w:hAnsi="Times New Roman" w:eastAsia="黑体"/>
          <w:b w:val="0"/>
          <w:color w:val="auto"/>
          <w:highlight w:val="none"/>
        </w:rPr>
      </w:pPr>
      <w:bookmarkStart w:id="30" w:name="_Toc15377215"/>
      <w:bookmarkStart w:id="31" w:name="_Toc15396609"/>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30"/>
      <w:bookmarkEnd w:id="31"/>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24.57</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4.55</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22.72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增长</w:t>
      </w:r>
      <w:r>
        <w:rPr>
          <w:rFonts w:hint="eastAsia" w:ascii="Times New Roman" w:hAnsi="Times New Roman" w:eastAsia="仿宋_GB2312" w:cs="仿宋_GB2312"/>
          <w:color w:val="auto"/>
          <w:kern w:val="2"/>
          <w:sz w:val="32"/>
          <w:szCs w:val="32"/>
          <w:highlight w:val="none"/>
          <w:lang w:val="en-US" w:eastAsia="zh-CN" w:bidi="ar-SA"/>
        </w:rPr>
        <w:t>的主要原因是</w:t>
      </w:r>
      <w:r>
        <w:rPr>
          <w:rFonts w:hint="eastAsia" w:eastAsia="仿宋_GB2312" w:cs="仿宋_GB2312"/>
          <w:color w:val="auto"/>
          <w:kern w:val="2"/>
          <w:sz w:val="32"/>
          <w:szCs w:val="32"/>
          <w:highlight w:val="none"/>
          <w:lang w:val="en-US" w:eastAsia="zh-CN" w:bidi="ar-SA"/>
        </w:rPr>
        <w:t>新增本年</w:t>
      </w:r>
      <w:r>
        <w:rPr>
          <w:rFonts w:hint="eastAsia" w:ascii="Times New Roman" w:hAnsi="Times New Roman" w:eastAsia="仿宋_GB2312" w:cs="仿宋_GB2312"/>
          <w:color w:val="auto"/>
          <w:kern w:val="2"/>
          <w:sz w:val="32"/>
          <w:szCs w:val="32"/>
          <w:highlight w:val="none"/>
          <w:lang w:val="en-US" w:eastAsia="zh-CN" w:bidi="ar-SA"/>
        </w:rPr>
        <w:t>因公出国（境）费用。</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（注：上述“预算”口径为全年预算数，包括一般公共预算和政府性基金预算财政拨款支出决算情况）</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3"/>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6.48</w:t>
      </w:r>
      <w:r>
        <w:rPr>
          <w:rFonts w:hint="eastAsia" w:ascii="仿宋_GB2312" w:hAnsi="仿宋_GB2312" w:eastAsia="仿宋_GB2312" w:cs="仿宋_GB2312"/>
          <w:color w:val="auto"/>
          <w:kern w:val="2"/>
          <w:sz w:val="32"/>
          <w:szCs w:val="32"/>
          <w:highlight w:val="none"/>
          <w:lang w:val="en-US" w:eastAsia="zh-CN" w:bidi="ar-SA"/>
        </w:rPr>
        <w:t>万元，占26.37%；公务用车购置及运行维护费支出决算</w:t>
      </w:r>
      <w:r>
        <w:rPr>
          <w:rFonts w:hint="eastAsia" w:ascii="仿宋_GB2312" w:hAnsi="仿宋_GB2312" w:eastAsia="仿宋_GB2312" w:cs="仿宋_GB2312"/>
          <w:sz w:val="32"/>
          <w:szCs w:val="32"/>
        </w:rPr>
        <w:t>13.66</w:t>
      </w:r>
      <w:r>
        <w:rPr>
          <w:rFonts w:hint="eastAsia" w:ascii="仿宋_GB2312" w:hAnsi="仿宋_GB2312" w:eastAsia="仿宋_GB2312" w:cs="仿宋_GB2312"/>
          <w:color w:val="auto"/>
          <w:kern w:val="2"/>
          <w:sz w:val="32"/>
          <w:szCs w:val="32"/>
          <w:highlight w:val="none"/>
          <w:lang w:val="en-US" w:eastAsia="zh-CN" w:bidi="ar-SA"/>
        </w:rPr>
        <w:t>万元，占55.6%；公务接待费支出决算</w:t>
      </w:r>
      <w:r>
        <w:rPr>
          <w:rFonts w:hint="eastAsia" w:ascii="仿宋_GB2312" w:hAnsi="仿宋_GB2312" w:eastAsia="仿宋_GB2312" w:cs="仿宋_GB2312"/>
          <w:sz w:val="32"/>
          <w:szCs w:val="32"/>
        </w:rPr>
        <w:t>4.43</w:t>
      </w:r>
      <w:r>
        <w:rPr>
          <w:rFonts w:hint="eastAsia" w:ascii="仿宋_GB2312" w:hAnsi="仿宋_GB2312" w:eastAsia="仿宋_GB2312" w:cs="仿宋_GB2312"/>
          <w:color w:val="auto"/>
          <w:kern w:val="2"/>
          <w:sz w:val="32"/>
          <w:szCs w:val="32"/>
          <w:highlight w:val="none"/>
          <w:lang w:val="en-US" w:eastAsia="zh-CN" w:bidi="ar-SA"/>
        </w:rPr>
        <w:t>万元，占18.03%。具体情况如下：</w:t>
      </w:r>
    </w:p>
    <w:p>
      <w:pPr>
        <w:pStyle w:val="2"/>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72000" cy="2743200"/>
            <wp:effectExtent l="4445" t="4445" r="14605" b="14605"/>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3"/>
        <w:rPr>
          <w:rFonts w:hint="eastAsia"/>
          <w:lang w:val="en-US" w:eastAsia="zh-CN"/>
        </w:rPr>
      </w:pPr>
    </w:p>
    <w:p>
      <w:pPr>
        <w:pStyle w:val="3"/>
        <w:rPr>
          <w:rFonts w:hint="eastAsia"/>
          <w:lang w:val="en-US" w:eastAsia="zh-CN"/>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6.48</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1</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6.48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根据市委市政府安排出国。</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13.66万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1.93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12.38</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节约经费开支。</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13.66</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载货汽车1</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、其他专用车1辆、消防车2辆</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13.66</w:t>
      </w:r>
      <w:r>
        <w:rPr>
          <w:rFonts w:hint="eastAsia" w:ascii="Times New Roman" w:hAnsi="Times New Roman" w:eastAsia="仿宋_GB2312" w:cs="仿宋_GB2312"/>
          <w:color w:val="auto"/>
          <w:kern w:val="2"/>
          <w:sz w:val="32"/>
          <w:szCs w:val="32"/>
          <w:highlight w:val="none"/>
          <w:lang w:val="en-US" w:eastAsia="zh-CN" w:bidi="ar-SA"/>
        </w:rPr>
        <w:t>万元。主要用于所需的公务用车燃料费、维修费、过路过桥费、保险费等支出。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4.43万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4.43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33</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330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4.43</w:t>
      </w:r>
      <w:r>
        <w:rPr>
          <w:rFonts w:hint="eastAsia" w:ascii="Times New Roman" w:hAnsi="Times New Roman" w:eastAsia="仿宋_GB2312" w:cs="仿宋_GB2312"/>
          <w:color w:val="auto"/>
          <w:kern w:val="2"/>
          <w:sz w:val="32"/>
          <w:szCs w:val="32"/>
          <w:highlight w:val="none"/>
          <w:lang w:val="en-US" w:eastAsia="zh-CN" w:bidi="ar-SA"/>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4" w:name="_Toc15377218"/>
      <w:bookmarkStart w:id="35" w:name="_Toc15396610"/>
    </w:p>
    <w:p>
      <w:pPr>
        <w:spacing w:line="600" w:lineRule="exact"/>
        <w:ind w:firstLine="640"/>
        <w:outlineLvl w:val="1"/>
        <w:rPr>
          <w:rStyle w:val="31"/>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34"/>
      <w:bookmarkEnd w:id="35"/>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3573.68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9.8</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22948.86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86.52</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项目减少。</w:t>
      </w:r>
      <w:r>
        <w:rPr>
          <w:rFonts w:hint="eastAsia" w:ascii="Times New Roman" w:hAnsi="Times New Roman" w:eastAsia="仿宋_GB2312" w:cs="仿宋_GB2312"/>
          <w:b/>
          <w:bCs/>
          <w:color w:val="auto"/>
          <w:kern w:val="2"/>
          <w:sz w:val="32"/>
          <w:szCs w:val="32"/>
          <w:highlight w:val="none"/>
          <w:lang w:val="en-US" w:eastAsia="zh-CN" w:bidi="ar-SA"/>
        </w:rPr>
        <w:t>（注：支出数与上年持平可以不写原因）</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36" w:name="_Toc15396611"/>
      <w:bookmarkStart w:id="37" w:name="_Toc15377219"/>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36"/>
      <w:bookmarkEnd w:id="3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p>
    <w:p>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38" w:name="_Toc15396612"/>
      <w:bookmarkStart w:id="39" w:name="_Toc15377221"/>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38"/>
      <w:bookmarkEnd w:id="39"/>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0" w:name="_Toc15377222"/>
      <w:r>
        <w:rPr>
          <w:rFonts w:hint="eastAsia" w:ascii="Times New Roman" w:hAnsi="Times New Roman" w:eastAsia="楷体_GB2312" w:cs="楷体_GB2312"/>
          <w:b/>
          <w:color w:val="auto"/>
          <w:sz w:val="32"/>
          <w:szCs w:val="32"/>
          <w:highlight w:val="none"/>
        </w:rPr>
        <w:t>（一）机关运行经费支出情况</w:t>
      </w:r>
      <w:bookmarkEnd w:id="4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四川省攀枝花钒钛高新技术产业开发区管理委员会</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303.81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13.72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4.32</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人员变动。</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1" w:name="_Toc15377223"/>
      <w:r>
        <w:rPr>
          <w:rFonts w:hint="eastAsia" w:ascii="Times New Roman" w:hAnsi="Times New Roman" w:eastAsia="楷体_GB2312" w:cs="楷体_GB2312"/>
          <w:b/>
          <w:color w:val="auto"/>
          <w:sz w:val="32"/>
          <w:szCs w:val="32"/>
          <w:highlight w:val="none"/>
        </w:rPr>
        <w:t>（二）政府采购支出情况</w:t>
      </w:r>
      <w:bookmarkEnd w:id="4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四川省攀枝花钒钛高新技术产业开发区管理委员会</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2699.89</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423.45</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1264.27</w:t>
      </w:r>
      <w:r>
        <w:rPr>
          <w:rFonts w:hint="eastAsia" w:ascii="仿宋_GB2312" w:hAnsi="仿宋_GB2312" w:eastAsia="仿宋_GB2312" w:cs="仿宋_GB2312"/>
          <w:color w:val="auto"/>
          <w:kern w:val="2"/>
          <w:sz w:val="32"/>
          <w:szCs w:val="32"/>
          <w:highlight w:val="none"/>
          <w:lang w:val="en-US" w:eastAsia="zh-CN" w:bidi="ar-SA"/>
        </w:rPr>
        <w:t>万元、政府采购服</w:t>
      </w:r>
      <w:r>
        <w:rPr>
          <w:rFonts w:hint="eastAsia" w:ascii="仿宋_GB2312" w:hAnsi="仿宋_GB2312" w:eastAsia="仿宋_GB2312" w:cs="仿宋_GB2312"/>
          <w:sz w:val="32"/>
          <w:szCs w:val="32"/>
          <w:lang w:val="en-US" w:eastAsia="zh-CN"/>
        </w:rPr>
        <w:t>务支出</w:t>
      </w:r>
      <w:r>
        <w:rPr>
          <w:rFonts w:hint="eastAsia" w:ascii="仿宋_GB2312" w:hAnsi="仿宋_GB2312" w:eastAsia="仿宋_GB2312" w:cs="仿宋_GB2312"/>
          <w:sz w:val="32"/>
          <w:szCs w:val="32"/>
        </w:rPr>
        <w:t>1012.17</w:t>
      </w:r>
      <w:r>
        <w:rPr>
          <w:rFonts w:hint="eastAsia" w:ascii="仿宋_GB2312" w:hAnsi="仿宋_GB2312" w:eastAsia="仿宋_GB2312" w:cs="仿宋_GB2312"/>
          <w:sz w:val="32"/>
          <w:szCs w:val="32"/>
          <w:lang w:val="en-US" w:eastAsia="zh-CN"/>
        </w:rPr>
        <w:t>万元。主要用于支付</w:t>
      </w:r>
      <w:r>
        <w:rPr>
          <w:rFonts w:hint="eastAsia" w:ascii="仿宋_GB2312" w:hAnsi="仿宋_GB2312" w:eastAsia="仿宋_GB2312" w:cs="仿宋_GB2312"/>
          <w:sz w:val="32"/>
          <w:szCs w:val="32"/>
        </w:rPr>
        <w:t>攀枝花钒钛高新区（金江片区）城乡环卫一体化采购项目</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化工园区安全风险整治提升</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技能实训基地</w:t>
      </w:r>
      <w:r>
        <w:rPr>
          <w:rFonts w:hint="eastAsia" w:ascii="仿宋_GB2312" w:hAnsi="仿宋_GB2312" w:eastAsia="仿宋_GB2312" w:cs="仿宋_GB2312"/>
          <w:sz w:val="32"/>
          <w:szCs w:val="32"/>
          <w:lang w:eastAsia="zh-CN"/>
        </w:rPr>
        <w:t>建设项目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kern w:val="2"/>
          <w:sz w:val="32"/>
          <w:szCs w:val="32"/>
          <w:highlight w:val="none"/>
          <w:lang w:val="en-US" w:eastAsia="zh-CN" w:bidi="ar-SA"/>
        </w:rPr>
        <w:t>授予中小企业合同金额</w:t>
      </w:r>
      <w:r>
        <w:rPr>
          <w:rFonts w:hint="eastAsia" w:ascii="仿宋_GB2312" w:hAnsi="仿宋_GB2312" w:eastAsia="仿宋_GB2312" w:cs="仿宋_GB2312"/>
          <w:sz w:val="32"/>
          <w:szCs w:val="32"/>
        </w:rPr>
        <w:t>2471.68</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91.54</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1539.45</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57.01</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2" w:name="_Toc15377224"/>
      <w:r>
        <w:rPr>
          <w:rFonts w:hint="eastAsia" w:ascii="Times New Roman" w:hAnsi="Times New Roman" w:eastAsia="楷体_GB2312" w:cs="楷体_GB2312"/>
          <w:b/>
          <w:color w:val="auto"/>
          <w:sz w:val="32"/>
          <w:szCs w:val="32"/>
          <w:highlight w:val="none"/>
        </w:rPr>
        <w:t>（三）国有资产占有使用情况</w:t>
      </w:r>
      <w:bookmarkEnd w:id="4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四川省攀枝花钒钛高新技术产业开发区管理委员会</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9</w:t>
      </w:r>
      <w:r>
        <w:rPr>
          <w:rFonts w:hint="eastAsia" w:ascii="仿宋_GB2312" w:hAnsi="仿宋_GB2312" w:eastAsia="仿宋_GB2312" w:cs="仿宋_GB2312"/>
          <w:color w:val="auto"/>
          <w:kern w:val="2"/>
          <w:sz w:val="32"/>
          <w:szCs w:val="32"/>
          <w:highlight w:val="none"/>
          <w:lang w:val="en-US" w:eastAsia="zh-CN" w:bidi="ar-SA"/>
        </w:rPr>
        <w:t>辆，其中：其他用车</w:t>
      </w:r>
      <w:r>
        <w:rPr>
          <w:rFonts w:hint="eastAsia" w:ascii="仿宋_GB2312" w:hAnsi="仿宋_GB2312" w:eastAsia="仿宋_GB2312" w:cs="仿宋_GB2312"/>
          <w:sz w:val="32"/>
          <w:szCs w:val="32"/>
        </w:rPr>
        <w:t>7</w:t>
      </w:r>
      <w:r>
        <w:rPr>
          <w:rFonts w:hint="eastAsia" w:ascii="仿宋_GB2312" w:hAnsi="仿宋_GB2312" w:eastAsia="仿宋_GB2312" w:cs="仿宋_GB2312"/>
          <w:color w:val="auto"/>
          <w:kern w:val="2"/>
          <w:sz w:val="32"/>
          <w:szCs w:val="32"/>
          <w:highlight w:val="none"/>
          <w:lang w:val="en-US" w:eastAsia="zh-CN" w:bidi="ar-SA"/>
        </w:rPr>
        <w:t>辆，特种专业技术用车2辆。单价100万元（含）以上设备（不含车辆）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val="0"/>
          <w:bCs w:val="0"/>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钒钛高新区管委会</w:t>
      </w:r>
      <w:r>
        <w:rPr>
          <w:rFonts w:hint="eastAsia" w:ascii="Times New Roman" w:hAnsi="Times New Roman" w:eastAsia="仿宋_GB2312" w:cs="仿宋_GB2312"/>
          <w:color w:val="auto"/>
          <w:kern w:val="2"/>
          <w:sz w:val="32"/>
          <w:szCs w:val="32"/>
          <w:highlight w:val="none"/>
          <w:lang w:val="en-US" w:eastAsia="zh-CN" w:bidi="ar-SA"/>
        </w:rPr>
        <w:t>在2024年度预算编制阶段，组织对钒钛高新区</w:t>
      </w:r>
      <w:r>
        <w:rPr>
          <w:rFonts w:hint="eastAsia" w:eastAsia="仿宋_GB2312" w:cs="仿宋_GB2312"/>
          <w:color w:val="auto"/>
          <w:kern w:val="2"/>
          <w:sz w:val="32"/>
          <w:szCs w:val="32"/>
          <w:highlight w:val="none"/>
          <w:lang w:val="en-US" w:eastAsia="zh-CN" w:bidi="ar-SA"/>
        </w:rPr>
        <w:t>城市管理</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151</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151</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部门整体（含部门预算项目）绩效自评报告、等专项预算项目绩效自评报告，绩效自评报告详见附件。</w:t>
      </w:r>
    </w:p>
    <w:p>
      <w:pPr>
        <w:spacing w:beforeLines="0" w:afterLines="0" w:line="576"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本年度部门决算等财务工作开展情况</w:t>
      </w:r>
    </w:p>
    <w:p>
      <w:pPr>
        <w:snapToGrid w:val="0"/>
        <w:spacing w:beforeLines="0" w:afterLines="0"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）本单位财务管理、绩效管理、决算组织、编报、审核情况。</w:t>
      </w:r>
    </w:p>
    <w:p>
      <w:pPr>
        <w:snapToGrid w:val="0"/>
        <w:spacing w:beforeLines="0" w:afterLines="0"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）本单位决算及绩效信息公开工作开展情况。</w:t>
      </w:r>
    </w:p>
    <w:p>
      <w:pPr>
        <w:pStyle w:val="7"/>
        <w:ind w:left="0" w:leftChars="0" w:firstLine="0" w:firstLineChars="0"/>
        <w:rPr>
          <w:rFonts w:hint="eastAsia"/>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）对部门决算管理工作的意见和建议。</w:t>
      </w:r>
    </w:p>
    <w:p>
      <w:pPr>
        <w:pStyle w:val="3"/>
        <w:ind w:left="0" w:leftChars="0" w:firstLine="0" w:firstLineChars="0"/>
        <w:jc w:val="both"/>
        <w:rPr>
          <w:rFonts w:hint="eastAsia" w:ascii="Times New Roman" w:hAnsi="Times New Roman" w:eastAsia="仿宋_GB2312" w:cs="仿宋_GB2312"/>
          <w:color w:val="auto"/>
          <w:kern w:val="2"/>
          <w:sz w:val="32"/>
          <w:szCs w:val="32"/>
          <w:highlight w:val="none"/>
          <w:lang w:val="en-US" w:eastAsia="zh-CN" w:bidi="ar-SA"/>
        </w:rPr>
      </w:pPr>
    </w:p>
    <w:p>
      <w:pPr>
        <w:rPr>
          <w:rFonts w:hint="eastAsia"/>
          <w:lang w:val="en-US" w:eastAsia="zh-CN"/>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3" w:name="_Toc15377225"/>
      <w:bookmarkStart w:id="44"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3"/>
      <w:bookmarkEnd w:id="44"/>
    </w:p>
    <w:p>
      <w:pPr>
        <w:spacing w:line="600" w:lineRule="exact"/>
        <w:jc w:val="left"/>
        <w:rPr>
          <w:rFonts w:ascii="Times New Roman" w:hAnsi="Times New Roman"/>
          <w:b/>
          <w:color w:val="auto"/>
          <w:sz w:val="44"/>
          <w:szCs w:val="44"/>
          <w:highlight w:val="none"/>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2.事业收入：指事业单位开展专业业务活动及辅助活动取得的收入。如……（二级预算单位事业收入情况）等。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3.经营收入：指事业单位在专业业务活动及其辅助活动之外开展非独立核算经营活动取得的收入。如……（二级预算单位经营收入情况）等。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4.其他收入：指单位取得的除上述收入以外的各项收入。主要是……（收入类型）等。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9.一般公共服务（类）……（款）……（项）：指……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10.外交（类）……（款）……（项）：指……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11.公共安全（类）……（款）……（项）：指……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12.教育（类）……（款）……（项）：指……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13.科学技术（类）……（款）……（项）：指……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14.文化旅游体育与传媒（类）……（款）……（项）：指……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15.社会保障和就业（类）……（款）……（项）：指……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16.卫生健康（类）……（款）……（项）：指……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17.节能环保（类）……（款）……（项）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18.城乡社区（类）……（款）……（项）：指……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19.农林水（类）……（款）……（项）：指……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20.交通运输（类）……（款）……（项）：指……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21.资源勘探工业信息等（类）……（款）……（项）：指……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22.商业服务业（类）……（款）……（项）：指……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23.金融（类）……（款）……（项）：指……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24.自然资源海洋气象等（类）……（款）……（项）：指……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25.住房保障（类）……（款）……（项）：指……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26.粮油物资储备（类）……（款）……（项）：指……</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b/>
          <w:bCs/>
          <w:color w:val="auto"/>
          <w:kern w:val="2"/>
          <w:sz w:val="32"/>
          <w:szCs w:val="32"/>
          <w:highlight w:val="none"/>
          <w:lang w:val="en-US" w:eastAsia="zh-CN" w:bidi="ar-SA"/>
        </w:rPr>
        <w:t>注：</w:t>
      </w:r>
      <w:r>
        <w:rPr>
          <w:rFonts w:hint="eastAsia" w:ascii="Times New Roman" w:hAnsi="Times New Roman" w:eastAsia="仿宋_GB2312" w:cs="仿宋_GB2312"/>
          <w:b/>
          <w:bCs/>
          <w:color w:val="auto"/>
          <w:kern w:val="2"/>
          <w:sz w:val="32"/>
          <w:szCs w:val="32"/>
          <w:highlight w:val="none"/>
          <w:lang w:val="en-US" w:eastAsia="zh-CN" w:bidi="ar-SA"/>
        </w:rPr>
        <w:t>解释本部门决算报表中涉及的全部功能分类科目至项级，不涉及的科目请自行删除。请参照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202</w:t>
      </w:r>
      <w:r>
        <w:rPr>
          <w:rFonts w:hint="eastAsia" w:eastAsia="仿宋_GB2312" w:cs="仿宋_GB2312"/>
          <w:b/>
          <w:bCs/>
          <w:color w:val="auto"/>
          <w:kern w:val="2"/>
          <w:sz w:val="32"/>
          <w:szCs w:val="32"/>
          <w:highlight w:val="none"/>
          <w:lang w:val="en-US" w:eastAsia="zh-CN" w:bidi="ar-SA"/>
        </w:rPr>
        <w:t>4</w:t>
      </w:r>
      <w:r>
        <w:rPr>
          <w:rFonts w:hint="eastAsia" w:ascii="Times New Roman" w:hAnsi="Times New Roman" w:eastAsia="仿宋_GB2312" w:cs="仿宋_GB2312"/>
          <w:b/>
          <w:bCs/>
          <w:color w:val="auto"/>
          <w:kern w:val="2"/>
          <w:sz w:val="32"/>
          <w:szCs w:val="32"/>
          <w:highlight w:val="none"/>
          <w:lang w:val="en-US" w:eastAsia="zh-CN" w:bidi="ar-SA"/>
        </w:rPr>
        <w:t>年政府收支分类科目</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增减内容）</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27.基本支出：指为保障机构正常运转、完成日常工作任务而发生的人员支出和公用支出。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28.项目支出：指在基本支出之外为完成特定行政任务和事业发展目标所发生的支出。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29.经营支出：指事业单位在专业业务活动及其辅助活动之外开展非独立核算经营活动发生的支出。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32.……</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（注：名词解释部分请根据各部门实际列支情况罗列，并根据本部门职责职能增减名词解释内容）</w:t>
      </w:r>
    </w:p>
    <w:p>
      <w:pPr>
        <w:spacing w:line="600" w:lineRule="exact"/>
        <w:jc w:val="center"/>
        <w:rPr>
          <w:rStyle w:val="30"/>
          <w:rFonts w:hint="eastAsia" w:ascii="Times New Roman" w:hAnsi="Times New Roman" w:eastAsia="黑体"/>
          <w:b w:val="0"/>
          <w:color w:val="auto"/>
          <w:highlight w:val="none"/>
          <w:lang w:eastAsia="zh-CN"/>
        </w:rPr>
      </w:pPr>
      <w:bookmarkStart w:id="45"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6"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6"/>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pPr>
        <w:keepNext w:val="0"/>
        <w:keepLines w:val="0"/>
        <w:pageBreakBefore w:val="0"/>
        <w:widowControl/>
        <w:kinsoku/>
        <w:wordWrap/>
        <w:overflowPunct/>
        <w:topLinePunct w:val="0"/>
        <w:autoSpaceDE/>
        <w:autoSpaceDN/>
        <w:bidi w:val="0"/>
        <w:adjustRightInd w:val="0"/>
        <w:snapToGrid w:val="0"/>
        <w:spacing w:line="578" w:lineRule="exact"/>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pPr>
        <w:pStyle w:val="2"/>
        <w:ind w:firstLine="640" w:firstLineChars="200"/>
        <w:rPr>
          <w:rFonts w:hint="default"/>
        </w:rPr>
      </w:pPr>
      <w:r>
        <w:rPr>
          <w:rFonts w:hint="eastAsia" w:ascii="仿宋_GB2312" w:hAnsi="仿宋_GB2312" w:eastAsia="仿宋_GB2312" w:cs="仿宋_GB2312"/>
          <w:sz w:val="32"/>
          <w:szCs w:val="32"/>
          <w:lang w:val="en-US" w:eastAsia="zh-CN"/>
        </w:rPr>
        <w:t>管委会内设：综合办公室、党群工作部（统战部）、科技创新和经济发展局、经济合作局、自然资源和建设管理局、综合行政执法局、应急管理局、社会管理局。</w:t>
      </w:r>
    </w:p>
    <w:p>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机构职能</w:t>
      </w:r>
      <w:r>
        <w:rPr>
          <w:rFonts w:hint="eastAsia" w:ascii="Times New Roman" w:hAnsi="Times New Roman" w:eastAsia="楷体_GB2312" w:cs="楷体_GB2312"/>
          <w:b/>
          <w:color w:val="auto"/>
          <w:sz w:val="32"/>
          <w:szCs w:val="32"/>
          <w:highlight w:val="none"/>
          <w:lang w:val="zh-CN"/>
        </w:rPr>
        <w:t>。</w:t>
      </w:r>
    </w:p>
    <w:p>
      <w:pPr>
        <w:snapToGrid w:val="0"/>
        <w:spacing w:line="520" w:lineRule="exact"/>
        <w:ind w:firstLine="42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lang w:val="en-US" w:eastAsia="zh-CN"/>
        </w:rPr>
        <w:t xml:space="preserve">   </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w:t>
      </w:r>
      <w:r>
        <w:rPr>
          <w:rFonts w:hint="eastAsia" w:ascii="仿宋_GB2312" w:hAnsi="仿宋" w:eastAsia="仿宋_GB2312"/>
          <w:color w:val="000000" w:themeColor="text1"/>
          <w:sz w:val="32"/>
          <w:szCs w:val="32"/>
          <w:highlight w:val="none"/>
          <w14:textFill>
            <w14:solidFill>
              <w14:schemeClr w14:val="tx1"/>
            </w14:solidFill>
          </w14:textFill>
        </w:rPr>
        <w:t>）贯彻执行党的路线、方针、政策和国家的法律、法规，贯彻落实市委、市政府的重要决策。</w:t>
      </w:r>
    </w:p>
    <w:p>
      <w:pPr>
        <w:snapToGrid w:val="0"/>
        <w:spacing w:line="52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2</w:t>
      </w:r>
      <w:r>
        <w:rPr>
          <w:rFonts w:hint="eastAsia" w:ascii="仿宋_GB2312" w:hAnsi="仿宋" w:eastAsia="仿宋_GB2312"/>
          <w:color w:val="000000" w:themeColor="text1"/>
          <w:sz w:val="32"/>
          <w:szCs w:val="32"/>
          <w:highlight w:val="none"/>
          <w14:textFill>
            <w14:solidFill>
              <w14:schemeClr w14:val="tx1"/>
            </w14:solidFill>
          </w14:textFill>
        </w:rPr>
        <w:t>）负责钒钛高新区党的建设、组织建设、党风廉政建设、精神文明建设和意识形态、对外宣传、群团等工作。负责钒钛高新区领导班子建设、干部队伍建设和人事人才管理工作。</w:t>
      </w:r>
    </w:p>
    <w:p>
      <w:pPr>
        <w:snapToGrid w:val="0"/>
        <w:spacing w:line="52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3</w:t>
      </w:r>
      <w:r>
        <w:rPr>
          <w:rFonts w:hint="eastAsia" w:ascii="仿宋_GB2312" w:hAnsi="仿宋" w:eastAsia="仿宋_GB2312"/>
          <w:color w:val="000000" w:themeColor="text1"/>
          <w:sz w:val="32"/>
          <w:szCs w:val="32"/>
          <w:highlight w:val="none"/>
          <w14:textFill>
            <w14:solidFill>
              <w14:schemeClr w14:val="tx1"/>
            </w14:solidFill>
          </w14:textFill>
        </w:rPr>
        <w:t>）负责拟订钒钛高新区经济社会发展总体规划。参与钒钛高新区的规划编制、实施等工作。</w:t>
      </w:r>
    </w:p>
    <w:p>
      <w:pPr>
        <w:snapToGrid w:val="0"/>
        <w:spacing w:line="52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4</w:t>
      </w:r>
      <w:r>
        <w:rPr>
          <w:rFonts w:hint="eastAsia" w:ascii="仿宋_GB2312" w:hAnsi="仿宋" w:eastAsia="仿宋_GB2312"/>
          <w:color w:val="000000" w:themeColor="text1"/>
          <w:sz w:val="32"/>
          <w:szCs w:val="32"/>
          <w:highlight w:val="none"/>
          <w14:textFill>
            <w14:solidFill>
              <w14:schemeClr w14:val="tx1"/>
            </w14:solidFill>
          </w14:textFill>
        </w:rPr>
        <w:t>）负责拟订钒钛高新区产业发展、对外开放、经济合作的政策。负责钒钛高新区统计、经济运行、投资促进等工作。负责招商引资、对外经济合作事项以及园区入驻企业（项目）的协调服务。</w:t>
      </w:r>
    </w:p>
    <w:p>
      <w:pPr>
        <w:snapToGrid w:val="0"/>
        <w:spacing w:line="52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5</w:t>
      </w:r>
      <w:r>
        <w:rPr>
          <w:rFonts w:hint="eastAsia" w:ascii="仿宋_GB2312" w:hAnsi="仿宋" w:eastAsia="仿宋_GB2312"/>
          <w:color w:val="000000" w:themeColor="text1"/>
          <w:sz w:val="32"/>
          <w:szCs w:val="32"/>
          <w:highlight w:val="none"/>
          <w14:textFill>
            <w14:solidFill>
              <w14:schemeClr w14:val="tx1"/>
            </w14:solidFill>
          </w14:textFill>
        </w:rPr>
        <w:t>）负责钒钛高新区的开发建设。负责钒钛高新区规划范围内的土地征收、拆迁安置等工作的协调。负责管理区域内社会事业的建设和管理。</w:t>
      </w:r>
    </w:p>
    <w:p>
      <w:pPr>
        <w:snapToGrid w:val="0"/>
        <w:spacing w:line="52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6</w:t>
      </w:r>
      <w:r>
        <w:rPr>
          <w:rFonts w:hint="eastAsia" w:ascii="仿宋_GB2312" w:hAnsi="仿宋" w:eastAsia="仿宋_GB2312"/>
          <w:color w:val="000000" w:themeColor="text1"/>
          <w:sz w:val="32"/>
          <w:szCs w:val="32"/>
          <w:highlight w:val="none"/>
          <w14:textFill>
            <w14:solidFill>
              <w14:schemeClr w14:val="tx1"/>
            </w14:solidFill>
          </w14:textFill>
        </w:rPr>
        <w:t>）受市政府委托，在管理区域内行使相关行政管理职能。承担权限范围内行政执法工作。</w:t>
      </w:r>
    </w:p>
    <w:p>
      <w:pPr>
        <w:snapToGrid w:val="0"/>
        <w:spacing w:line="52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7</w:t>
      </w:r>
      <w:r>
        <w:rPr>
          <w:rFonts w:hint="eastAsia" w:ascii="仿宋_GB2312" w:hAnsi="仿宋" w:eastAsia="仿宋_GB2312"/>
          <w:color w:val="000000" w:themeColor="text1"/>
          <w:sz w:val="32"/>
          <w:szCs w:val="32"/>
          <w:highlight w:val="none"/>
          <w14:textFill>
            <w14:solidFill>
              <w14:schemeClr w14:val="tx1"/>
            </w14:solidFill>
          </w14:textFill>
        </w:rPr>
        <w:t>）履行钒钛高新区的财政管理，负责财政金融政策落实及国有资产管理工作。</w:t>
      </w:r>
    </w:p>
    <w:p>
      <w:pPr>
        <w:snapToGrid w:val="0"/>
        <w:spacing w:line="52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8</w:t>
      </w:r>
      <w:r>
        <w:rPr>
          <w:rFonts w:hint="eastAsia" w:ascii="仿宋_GB2312" w:hAnsi="仿宋" w:eastAsia="仿宋_GB2312"/>
          <w:color w:val="000000" w:themeColor="text1"/>
          <w:sz w:val="32"/>
          <w:szCs w:val="32"/>
          <w:highlight w:val="none"/>
          <w14:textFill>
            <w14:solidFill>
              <w14:schemeClr w14:val="tx1"/>
            </w14:solidFill>
          </w14:textFill>
        </w:rPr>
        <w:t>）负责推进科技创新、产学研合作、科技成果转化等工作。负责引进国（境）外人才、智力工作及科技人才队伍建设工作。</w:t>
      </w:r>
    </w:p>
    <w:p>
      <w:pPr>
        <w:snapToGrid w:val="0"/>
        <w:spacing w:line="52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9</w:t>
      </w:r>
      <w:r>
        <w:rPr>
          <w:rFonts w:hint="eastAsia" w:ascii="仿宋_GB2312" w:hAnsi="仿宋" w:eastAsia="仿宋_GB2312"/>
          <w:color w:val="000000" w:themeColor="text1"/>
          <w:sz w:val="32"/>
          <w:szCs w:val="32"/>
          <w:highlight w:val="none"/>
          <w14:textFill>
            <w14:solidFill>
              <w14:schemeClr w14:val="tx1"/>
            </w14:solidFill>
          </w14:textFill>
        </w:rPr>
        <w:t>）负责权限范围内的安全生产和职业健康、生态环境保护、审批服务便民化等工作。</w:t>
      </w:r>
    </w:p>
    <w:p>
      <w:pPr>
        <w:snapToGrid w:val="0"/>
        <w:spacing w:line="520" w:lineRule="exact"/>
        <w:ind w:firstLine="640" w:firstLineChars="200"/>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10</w:t>
      </w:r>
      <w:r>
        <w:rPr>
          <w:rFonts w:hint="eastAsia" w:ascii="仿宋_GB2312" w:hAnsi="仿宋" w:eastAsia="仿宋_GB2312"/>
          <w:color w:val="000000" w:themeColor="text1"/>
          <w:sz w:val="32"/>
          <w:szCs w:val="32"/>
          <w:highlight w:val="none"/>
          <w14:textFill>
            <w14:solidFill>
              <w14:schemeClr w14:val="tx1"/>
            </w14:solidFill>
          </w14:textFill>
        </w:rPr>
        <w:t>）受市政府委托，管理相关乡镇和村（社区）及村民（居民）小组。</w:t>
      </w:r>
    </w:p>
    <w:p>
      <w:pPr>
        <w:numPr>
          <w:ilvl w:val="0"/>
          <w:numId w:val="0"/>
        </w:numPr>
        <w:ind w:firstLine="320" w:firstLineChars="100"/>
        <w:rPr>
          <w:rFonts w:hint="default" w:eastAsia="仿宋_GB2312"/>
          <w:lang w:val="en-US" w:eastAsia="zh-CN"/>
        </w:rPr>
      </w:pP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11</w:t>
      </w:r>
      <w:r>
        <w:rPr>
          <w:rFonts w:hint="eastAsia" w:ascii="仿宋_GB2312" w:hAnsi="仿宋" w:eastAsia="仿宋_GB2312"/>
          <w:color w:val="000000" w:themeColor="text1"/>
          <w:sz w:val="32"/>
          <w:szCs w:val="32"/>
          <w:highlight w:val="none"/>
          <w14:textFill>
            <w14:solidFill>
              <w14:schemeClr w14:val="tx1"/>
            </w14:solidFill>
          </w14:textFill>
        </w:rPr>
        <w:t>）完成市委、市政府交办的其他任务。</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2"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年末管委会在职职工</w:t>
      </w:r>
      <w:r>
        <w:rPr>
          <w:rFonts w:hint="eastAsia" w:ascii="仿宋_GB2312" w:hAnsi="仿宋_GB2312" w:eastAsia="仿宋_GB2312" w:cs="仿宋_GB2312"/>
          <w:sz w:val="32"/>
          <w:szCs w:val="32"/>
          <w:lang w:val="en-US" w:eastAsia="zh-CN"/>
        </w:rPr>
        <w:t>106</w:t>
      </w:r>
      <w:r>
        <w:rPr>
          <w:rFonts w:hint="eastAsia" w:ascii="仿宋_GB2312" w:hAnsi="仿宋_GB2312" w:eastAsia="仿宋_GB2312" w:cs="仿宋_GB2312"/>
          <w:sz w:val="32"/>
          <w:szCs w:val="32"/>
        </w:rPr>
        <w:t>人，其中公务员</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人，机关工勤人员</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人，事业人员</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人，参公人员</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人</w:t>
      </w:r>
    </w:p>
    <w:p>
      <w:pPr>
        <w:pStyle w:val="2"/>
        <w:numPr>
          <w:ilvl w:val="0"/>
          <w:numId w:val="0"/>
        </w:numPr>
        <w:ind w:leftChars="200"/>
        <w:rPr>
          <w:rFonts w:hint="default"/>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pPr>
        <w:keepNext w:val="0"/>
        <w:keepLines w:val="0"/>
        <w:pageBreakBefore w:val="0"/>
        <w:widowControl/>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sz w:val="32"/>
          <w:szCs w:val="32"/>
          <w:highlight w:val="none"/>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LINK Excel.Sheet.8 "D:/生成模板/生成文本.xls" "Sheet1!R2C2" \t \a \* MERGEFORMAT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攀枝花市钒钛高新技术产业开发区管理委员会</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2024年总收入</w:t>
      </w:r>
      <w:r>
        <w:rPr>
          <w:rFonts w:hint="eastAsia" w:ascii="仿宋_GB2312" w:hAnsi="仿宋_GB2312" w:eastAsia="仿宋_GB2312" w:cs="仿宋_GB2312"/>
          <w:sz w:val="32"/>
          <w:szCs w:val="32"/>
        </w:rPr>
        <w:t>36459.02</w:t>
      </w:r>
      <w:r>
        <w:rPr>
          <w:rFonts w:hint="eastAsia" w:ascii="Times New Roman" w:hAnsi="Times New Roman" w:eastAsia="仿宋_GB2312" w:cs="仿宋_GB2312"/>
          <w:color w:val="auto"/>
          <w:sz w:val="32"/>
          <w:szCs w:val="32"/>
          <w:highlight w:val="none"/>
        </w:rPr>
        <w:t>万元</w:t>
      </w:r>
      <w:r>
        <w:rPr>
          <w:rFonts w:hint="eastAsia" w:ascii="仿宋" w:hAnsi="仿宋" w:eastAsia="仿宋" w:cs="仿宋"/>
          <w:sz w:val="32"/>
          <w:szCs w:val="32"/>
          <w:lang w:val="en-US" w:eastAsia="zh-CN"/>
        </w:rPr>
        <w:t>，较2023年总收入56800.10万元</w:t>
      </w:r>
      <w:r>
        <w:rPr>
          <w:rFonts w:hint="eastAsia" w:ascii="Times New Roman" w:hAnsi="Times New Roman" w:eastAsia="仿宋_GB2312" w:cs="仿宋_GB2312"/>
          <w:color w:val="auto"/>
          <w:sz w:val="32"/>
          <w:szCs w:val="32"/>
          <w:highlight w:val="none"/>
        </w:rPr>
        <w:t>减少</w:t>
      </w:r>
      <w:r>
        <w:rPr>
          <w:rFonts w:hint="eastAsia" w:eastAsia="仿宋_GB2312" w:cs="仿宋_GB2312"/>
          <w:color w:val="auto"/>
          <w:sz w:val="32"/>
          <w:szCs w:val="32"/>
          <w:highlight w:val="none"/>
          <w:lang w:val="en-US" w:eastAsia="zh-CN"/>
        </w:rPr>
        <w:t>20341.08</w:t>
      </w:r>
      <w:r>
        <w:rPr>
          <w:rFonts w:hint="eastAsia" w:ascii="Times New Roman" w:hAnsi="Times New Roman" w:eastAsia="仿宋_GB2312" w:cs="仿宋_GB2312"/>
          <w:color w:val="auto"/>
          <w:sz w:val="32"/>
          <w:szCs w:val="32"/>
          <w:highlight w:val="none"/>
        </w:rPr>
        <w:t>万元，</w:t>
      </w:r>
      <w:r>
        <w:rPr>
          <w:rFonts w:hint="eastAsia" w:eastAsia="仿宋_GB2312" w:cs="仿宋_GB2312"/>
          <w:color w:val="auto"/>
          <w:sz w:val="32"/>
          <w:szCs w:val="32"/>
          <w:highlight w:val="none"/>
          <w:lang w:eastAsia="zh-CN"/>
        </w:rPr>
        <w:t>减幅</w:t>
      </w:r>
      <w:r>
        <w:rPr>
          <w:rFonts w:hint="eastAsia" w:eastAsia="仿宋_GB2312" w:cs="仿宋_GB2312"/>
          <w:color w:val="auto"/>
          <w:sz w:val="32"/>
          <w:szCs w:val="32"/>
          <w:highlight w:val="none"/>
          <w:lang w:val="en-US" w:eastAsia="zh-CN"/>
        </w:rPr>
        <w:t>35.81</w:t>
      </w:r>
      <w:r>
        <w:rPr>
          <w:rFonts w:hint="eastAsia" w:ascii="Times New Roman" w:hAnsi="Times New Roman" w:eastAsia="仿宋_GB2312" w:cs="仿宋_GB2312"/>
          <w:color w:val="auto"/>
          <w:sz w:val="32"/>
          <w:szCs w:val="32"/>
          <w:highlight w:val="none"/>
        </w:rPr>
        <w:t>%。</w:t>
      </w:r>
    </w:p>
    <w:p>
      <w:pPr>
        <w:keepNext w:val="0"/>
        <w:keepLines w:val="0"/>
        <w:pageBreakBefore w:val="0"/>
        <w:widowControl/>
        <w:numPr>
          <w:ilvl w:val="0"/>
          <w:numId w:val="3"/>
        </w:numPr>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仿宋" w:hAnsi="仿宋" w:eastAsia="仿宋" w:cs="仿宋"/>
          <w:sz w:val="32"/>
          <w:szCs w:val="32"/>
          <w:lang w:val="en-US" w:eastAsia="zh-CN"/>
        </w:rPr>
        <w:t>钒钛高新区管委会2024年总支出</w:t>
      </w:r>
      <w:r>
        <w:rPr>
          <w:rFonts w:hint="eastAsia" w:ascii="仿宋_GB2312" w:hAnsi="仿宋_GB2312" w:eastAsia="仿宋_GB2312" w:cs="仿宋_GB2312"/>
          <w:sz w:val="32"/>
          <w:szCs w:val="32"/>
        </w:rPr>
        <w:t>36459.02</w:t>
      </w:r>
      <w:r>
        <w:rPr>
          <w:rFonts w:hint="eastAsia" w:ascii="Times New Roman" w:hAnsi="Times New Roman" w:eastAsia="仿宋_GB2312" w:cs="仿宋_GB2312"/>
          <w:color w:val="auto"/>
          <w:sz w:val="32"/>
          <w:szCs w:val="32"/>
          <w:highlight w:val="none"/>
        </w:rPr>
        <w:t>万元</w:t>
      </w:r>
      <w:r>
        <w:rPr>
          <w:rFonts w:hint="eastAsia" w:ascii="仿宋" w:hAnsi="仿宋" w:eastAsia="仿宋" w:cs="仿宋"/>
          <w:sz w:val="32"/>
          <w:szCs w:val="32"/>
          <w:lang w:val="en-US" w:eastAsia="zh-CN"/>
        </w:rPr>
        <w:t>，较2023年总支出56800.10万元</w:t>
      </w:r>
      <w:r>
        <w:rPr>
          <w:rFonts w:hint="eastAsia" w:ascii="Times New Roman" w:hAnsi="Times New Roman" w:eastAsia="仿宋_GB2312" w:cs="仿宋_GB2312"/>
          <w:color w:val="auto"/>
          <w:sz w:val="32"/>
          <w:szCs w:val="32"/>
          <w:highlight w:val="none"/>
        </w:rPr>
        <w:t>减少</w:t>
      </w:r>
      <w:r>
        <w:rPr>
          <w:rFonts w:hint="eastAsia" w:eastAsia="仿宋_GB2312" w:cs="仿宋_GB2312"/>
          <w:color w:val="auto"/>
          <w:sz w:val="32"/>
          <w:szCs w:val="32"/>
          <w:highlight w:val="none"/>
          <w:lang w:val="en-US" w:eastAsia="zh-CN"/>
        </w:rPr>
        <w:t>20341.08</w:t>
      </w:r>
      <w:r>
        <w:rPr>
          <w:rFonts w:hint="eastAsia" w:ascii="Times New Roman" w:hAnsi="Times New Roman" w:eastAsia="仿宋_GB2312" w:cs="仿宋_GB2312"/>
          <w:color w:val="auto"/>
          <w:sz w:val="32"/>
          <w:szCs w:val="32"/>
          <w:highlight w:val="none"/>
        </w:rPr>
        <w:t>万元，</w:t>
      </w:r>
      <w:r>
        <w:rPr>
          <w:rFonts w:hint="eastAsia" w:eastAsia="仿宋_GB2312" w:cs="仿宋_GB2312"/>
          <w:color w:val="auto"/>
          <w:sz w:val="32"/>
          <w:szCs w:val="32"/>
          <w:highlight w:val="none"/>
          <w:lang w:eastAsia="zh-CN"/>
        </w:rPr>
        <w:t>减幅</w:t>
      </w:r>
      <w:r>
        <w:rPr>
          <w:rFonts w:hint="eastAsia" w:eastAsia="仿宋_GB2312" w:cs="仿宋_GB2312"/>
          <w:color w:val="auto"/>
          <w:sz w:val="32"/>
          <w:szCs w:val="32"/>
          <w:highlight w:val="none"/>
          <w:lang w:val="en-US" w:eastAsia="zh-CN"/>
        </w:rPr>
        <w:t>35.81</w:t>
      </w:r>
      <w:r>
        <w:rPr>
          <w:rFonts w:hint="eastAsia" w:ascii="Times New Roman" w:hAnsi="Times New Roman" w:eastAsia="仿宋_GB2312" w:cs="仿宋_GB2312"/>
          <w:color w:val="auto"/>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 w:hAnsi="仿宋" w:eastAsia="仿宋" w:cs="仿宋"/>
          <w:sz w:val="32"/>
          <w:szCs w:val="32"/>
          <w:lang w:val="zh-CN" w:eastAsia="zh-CN"/>
        </w:rPr>
      </w:pPr>
      <w:r>
        <w:rPr>
          <w:rFonts w:hint="default" w:ascii="仿宋" w:hAnsi="仿宋" w:eastAsia="仿宋" w:cs="仿宋"/>
          <w:sz w:val="32"/>
          <w:szCs w:val="32"/>
          <w:lang w:val="zh-CN" w:eastAsia="zh-CN"/>
        </w:rPr>
        <w:t>（一）</w:t>
      </w:r>
      <w:r>
        <w:rPr>
          <w:rFonts w:hint="eastAsia" w:ascii="仿宋" w:hAnsi="仿宋" w:eastAsia="仿宋" w:cs="仿宋"/>
          <w:sz w:val="32"/>
          <w:szCs w:val="32"/>
          <w:lang w:val="zh-CN" w:eastAsia="zh-CN"/>
        </w:rPr>
        <w:t>部门预算</w:t>
      </w:r>
      <w:r>
        <w:rPr>
          <w:rFonts w:hint="default" w:ascii="仿宋" w:hAnsi="仿宋" w:eastAsia="仿宋" w:cs="仿宋"/>
          <w:sz w:val="32"/>
          <w:szCs w:val="32"/>
          <w:lang w:val="zh-CN" w:eastAsia="zh-CN"/>
        </w:rPr>
        <w:t>总体绩效分析。</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b w:val="0"/>
          <w:bCs w:val="0"/>
          <w:i w:val="0"/>
          <w:iCs/>
          <w:lang w:val="en-US"/>
        </w:rPr>
      </w:pPr>
      <w:r>
        <w:rPr>
          <w:rFonts w:hint="eastAsia" w:ascii="仿宋" w:hAnsi="仿宋" w:eastAsia="仿宋" w:cs="仿宋"/>
          <w:sz w:val="32"/>
          <w:szCs w:val="32"/>
          <w:lang w:val="zh-CN" w:eastAsia="zh-CN"/>
        </w:rPr>
        <w:t>钒钛高新区管委会</w:t>
      </w:r>
      <w:r>
        <w:rPr>
          <w:rFonts w:hint="eastAsia" w:ascii="仿宋" w:hAnsi="仿宋" w:eastAsia="仿宋" w:cs="仿宋"/>
          <w:sz w:val="32"/>
          <w:szCs w:val="32"/>
          <w:lang w:val="en-US" w:eastAsia="zh-CN"/>
        </w:rPr>
        <w:t>2024年全年预算下达36459.02万元，在人员经费、日常运行保障经费和各局室项目经费中完成执行率100%。全年预算资金保障了人员工资、社保、公积金、办公经费等，有效的维持本单位工作正常运行，局室项目经费保障了钒钛高新区更好更繁荣的建设。</w:t>
      </w:r>
    </w:p>
    <w:p>
      <w:pPr>
        <w:keepNext w:val="0"/>
        <w:keepLines w:val="0"/>
        <w:pageBreakBefore w:val="0"/>
        <w:widowControl w:val="0"/>
        <w:numPr>
          <w:ilvl w:val="0"/>
          <w:numId w:val="3"/>
        </w:numPr>
        <w:kinsoku/>
        <w:wordWrap/>
        <w:overflowPunct/>
        <w:topLinePunct w:val="0"/>
        <w:autoSpaceDE/>
        <w:autoSpaceDN/>
        <w:bidi w:val="0"/>
        <w:snapToGrid w:val="0"/>
        <w:spacing w:line="600" w:lineRule="exact"/>
        <w:ind w:left="0" w:leftChars="0" w:firstLine="642"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部门预算项目绩效分析。</w:t>
      </w:r>
    </w:p>
    <w:p>
      <w:pPr>
        <w:keepNext w:val="0"/>
        <w:keepLines w:val="0"/>
        <w:pageBreakBefore w:val="0"/>
        <w:widowControl w:val="0"/>
        <w:numPr>
          <w:ilvl w:val="0"/>
          <w:numId w:val="0"/>
        </w:numPr>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auto"/>
          <w:sz w:val="32"/>
          <w:szCs w:val="24"/>
          <w:lang w:val="en-US"/>
        </w:rPr>
      </w:pPr>
      <w:r>
        <w:rPr>
          <w:rFonts w:hint="eastAsia" w:ascii="仿宋_GB2312" w:hAnsi="仿宋_GB2312" w:eastAsia="仿宋_GB2312" w:cs="仿宋_GB2312"/>
          <w:color w:val="auto"/>
          <w:sz w:val="32"/>
          <w:szCs w:val="24"/>
          <w:lang w:val="en-US" w:eastAsia="zh-CN"/>
        </w:rPr>
        <w:t>1、</w:t>
      </w:r>
      <w:r>
        <w:rPr>
          <w:rFonts w:hint="eastAsia" w:ascii="仿宋_GB2312" w:hAnsi="仿宋_GB2312" w:eastAsia="仿宋_GB2312" w:cs="仿宋_GB2312"/>
          <w:color w:val="auto"/>
          <w:sz w:val="32"/>
          <w:szCs w:val="24"/>
          <w:lang w:val="en-US"/>
        </w:rPr>
        <w:t>人员类项目绩效分析</w:t>
      </w:r>
    </w:p>
    <w:p>
      <w:pPr>
        <w:keepNext w:val="0"/>
        <w:keepLines w:val="0"/>
        <w:pageBreakBefore w:val="0"/>
        <w:widowControl w:val="0"/>
        <w:numPr>
          <w:ilvl w:val="0"/>
          <w:numId w:val="0"/>
        </w:numPr>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2024年人员类预算下达</w:t>
      </w:r>
      <w:r>
        <w:rPr>
          <w:rFonts w:hint="eastAsia" w:ascii="仿宋_GB2312" w:hAnsi="仿宋_GB2312" w:eastAsia="仿宋_GB2312" w:cs="仿宋_GB2312"/>
          <w:sz w:val="32"/>
          <w:szCs w:val="32"/>
        </w:rPr>
        <w:t>2508.4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ascii="仿宋_GB2312" w:hAnsi="仿宋_GB2312" w:eastAsia="仿宋_GB2312" w:cs="仿宋_GB2312"/>
          <w:color w:val="auto"/>
          <w:sz w:val="32"/>
          <w:szCs w:val="24"/>
          <w:lang w:val="en-US" w:eastAsia="zh-CN"/>
        </w:rPr>
        <w:t>，支付</w:t>
      </w:r>
      <w:r>
        <w:rPr>
          <w:rFonts w:hint="eastAsia" w:ascii="仿宋_GB2312" w:hAnsi="仿宋_GB2312" w:eastAsia="仿宋_GB2312" w:cs="仿宋_GB2312"/>
          <w:sz w:val="32"/>
          <w:szCs w:val="32"/>
        </w:rPr>
        <w:t>2508.4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ascii="仿宋_GB2312" w:hAnsi="仿宋_GB2312" w:eastAsia="仿宋_GB2312" w:cs="仿宋_GB2312"/>
          <w:color w:val="auto"/>
          <w:sz w:val="32"/>
          <w:szCs w:val="24"/>
          <w:lang w:val="en-US" w:eastAsia="zh-CN"/>
        </w:rPr>
        <w:t>元，执行率100%。该项目资金全部用于人员工资、社保、公积金等，有效的维持本单位工作正常运行，实现既定目标、完成预算支出。</w:t>
      </w:r>
    </w:p>
    <w:p>
      <w:pPr>
        <w:keepNext w:val="0"/>
        <w:keepLines w:val="0"/>
        <w:pageBreakBefore w:val="0"/>
        <w:widowControl w:val="0"/>
        <w:numPr>
          <w:ilvl w:val="0"/>
          <w:numId w:val="4"/>
        </w:numPr>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auto"/>
          <w:sz w:val="32"/>
          <w:szCs w:val="24"/>
          <w:lang w:val="en-US"/>
        </w:rPr>
      </w:pPr>
      <w:r>
        <w:rPr>
          <w:rFonts w:hint="eastAsia" w:ascii="仿宋_GB2312" w:hAnsi="仿宋_GB2312" w:eastAsia="仿宋_GB2312" w:cs="仿宋_GB2312"/>
          <w:color w:val="auto"/>
          <w:sz w:val="32"/>
          <w:szCs w:val="24"/>
          <w:lang w:val="en-US"/>
        </w:rPr>
        <w:t>运转类项目绩效分析</w:t>
      </w:r>
    </w:p>
    <w:p>
      <w:pPr>
        <w:keepNext w:val="0"/>
        <w:keepLines w:val="0"/>
        <w:pageBreakBefore w:val="0"/>
        <w:widowControl w:val="0"/>
        <w:numPr>
          <w:ilvl w:val="0"/>
          <w:numId w:val="0"/>
        </w:numPr>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2024年公用经费类预算下达</w:t>
      </w:r>
      <w:r>
        <w:rPr>
          <w:rFonts w:hint="eastAsia" w:ascii="仿宋_GB2312" w:hAnsi="仿宋_GB2312" w:eastAsia="仿宋_GB2312" w:cs="仿宋_GB2312"/>
          <w:sz w:val="32"/>
          <w:szCs w:val="32"/>
        </w:rPr>
        <w:t>303.81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ascii="仿宋_GB2312" w:hAnsi="仿宋_GB2312" w:eastAsia="仿宋_GB2312" w:cs="仿宋_GB2312"/>
          <w:color w:val="auto"/>
          <w:sz w:val="32"/>
          <w:szCs w:val="24"/>
          <w:lang w:val="en-US" w:eastAsia="zh-CN"/>
        </w:rPr>
        <w:t>，支付</w:t>
      </w:r>
      <w:r>
        <w:rPr>
          <w:rFonts w:hint="eastAsia" w:ascii="仿宋_GB2312" w:hAnsi="仿宋_GB2312" w:eastAsia="仿宋_GB2312" w:cs="仿宋_GB2312"/>
          <w:sz w:val="32"/>
          <w:szCs w:val="32"/>
        </w:rPr>
        <w:t>303.81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ascii="仿宋_GB2312" w:hAnsi="仿宋_GB2312" w:eastAsia="仿宋_GB2312" w:cs="仿宋_GB2312"/>
          <w:color w:val="auto"/>
          <w:sz w:val="32"/>
          <w:szCs w:val="24"/>
          <w:lang w:val="en-US" w:eastAsia="zh-CN"/>
        </w:rPr>
        <w:t>，执行率100%。该项目资金全部本单位的办公经费（水电费、办公费、邮电费、差旅费等），有效的维持本单位工作正常运行，实现既定目标、完成预算支出。</w:t>
      </w:r>
    </w:p>
    <w:p>
      <w:pPr>
        <w:keepNext w:val="0"/>
        <w:keepLines w:val="0"/>
        <w:pageBreakBefore w:val="0"/>
        <w:widowControl w:val="0"/>
        <w:numPr>
          <w:ilvl w:val="0"/>
          <w:numId w:val="0"/>
        </w:numPr>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3、特定目标类项目绩效分析</w:t>
      </w:r>
    </w:p>
    <w:p>
      <w:pPr>
        <w:keepNext/>
        <w:keepLines/>
        <w:tabs>
          <w:tab w:val="left" w:pos="1940"/>
        </w:tabs>
        <w:spacing w:beforeLines="0" w:afterLines="0" w:line="560" w:lineRule="exact"/>
        <w:ind w:firstLine="640"/>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2024年特定目标类预算下达33646.81万元，支付33646.81万元，执行率100%。该项目资金全部用于本单位局室项目，实现既定目标、完成预算支出。</w:t>
      </w:r>
    </w:p>
    <w:p>
      <w:pPr>
        <w:keepNext w:val="0"/>
        <w:keepLines w:val="0"/>
        <w:pageBreakBefore w:val="0"/>
        <w:widowControl w:val="0"/>
        <w:numPr>
          <w:ilvl w:val="0"/>
          <w:numId w:val="3"/>
        </w:numPr>
        <w:kinsoku/>
        <w:wordWrap/>
        <w:overflowPunct/>
        <w:topLinePunct w:val="0"/>
        <w:autoSpaceDE/>
        <w:autoSpaceDN/>
        <w:bidi w:val="0"/>
        <w:snapToGrid w:val="0"/>
        <w:spacing w:line="600" w:lineRule="exact"/>
        <w:ind w:left="0" w:leftChars="0" w:firstLine="642"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pPr>
        <w:keepNext/>
        <w:keepLines/>
        <w:tabs>
          <w:tab w:val="left" w:pos="1940"/>
        </w:tabs>
        <w:spacing w:beforeLines="0" w:afterLines="0" w:line="560" w:lineRule="exact"/>
        <w:ind w:firstLine="640"/>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强化评价结果在部门预算编制和执行中的应用，实现绩效评价结果在部门预算编制和执行中的应用，实现绩效评价与部门预算的有机结合，促进钒钛高新区管委会财政资金的合理分配与有效使用。</w:t>
      </w:r>
    </w:p>
    <w:p>
      <w:pPr>
        <w:pStyle w:val="2"/>
        <w:numPr>
          <w:ilvl w:val="0"/>
          <w:numId w:val="0"/>
        </w:numPr>
        <w:ind w:leftChars="200"/>
        <w:rPr>
          <w:rFonts w:hint="default"/>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pPr>
        <w:keepNext/>
        <w:keepLines/>
        <w:spacing w:beforeLines="0" w:afterLines="0" w:line="560" w:lineRule="exact"/>
        <w:ind w:firstLine="643"/>
        <w:rPr>
          <w:rFonts w:hint="eastAsia" w:ascii="仿宋_GB2312" w:hAnsi="仿宋_GB2312" w:eastAsia="仿宋_GB2312" w:cs="仿宋_GB2312"/>
          <w:b/>
          <w:color w:val="auto"/>
          <w:sz w:val="32"/>
          <w:szCs w:val="24"/>
          <w:lang w:val="zh-CN"/>
        </w:rPr>
      </w:pPr>
      <w:r>
        <w:rPr>
          <w:rFonts w:hint="eastAsia" w:ascii="仿宋_GB2312" w:hAnsi="仿宋_GB2312" w:eastAsia="仿宋_GB2312" w:cs="仿宋_GB2312"/>
          <w:b/>
          <w:color w:val="auto"/>
          <w:sz w:val="32"/>
          <w:szCs w:val="24"/>
          <w:lang w:val="zh-CN"/>
        </w:rPr>
        <w:t>（一）评价结论。</w:t>
      </w:r>
    </w:p>
    <w:p>
      <w:pPr>
        <w:keepNext/>
        <w:keepLines/>
        <w:tabs>
          <w:tab w:val="left" w:pos="1940"/>
        </w:tabs>
        <w:spacing w:beforeLines="0" w:afterLines="0" w:line="560" w:lineRule="exact"/>
        <w:ind w:firstLine="640"/>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结合钒钛高新区管委会实际情况，部门整体支出绩效为“良好”。具体分析如下：</w:t>
      </w:r>
    </w:p>
    <w:p>
      <w:pPr>
        <w:keepNext/>
        <w:keepLines/>
        <w:tabs>
          <w:tab w:val="left" w:pos="1940"/>
        </w:tabs>
        <w:spacing w:beforeLines="0" w:afterLines="0" w:line="560" w:lineRule="exact"/>
        <w:ind w:firstLine="640"/>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1.社会效益指标，加快推进钒钛新城建设，增添发展活力。加大招商引资，优化企业服务。</w:t>
      </w:r>
    </w:p>
    <w:p>
      <w:pPr>
        <w:keepNext/>
        <w:keepLines/>
        <w:tabs>
          <w:tab w:val="left" w:pos="1940"/>
        </w:tabs>
        <w:spacing w:beforeLines="0" w:afterLines="0" w:line="560" w:lineRule="exact"/>
        <w:ind w:firstLine="640"/>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2.环境效益指标，努力完成上级下达任务，改善钒钛新城综合环境。</w:t>
      </w:r>
    </w:p>
    <w:p>
      <w:pPr>
        <w:keepNext/>
        <w:keepLines/>
        <w:tabs>
          <w:tab w:val="left" w:pos="1940"/>
        </w:tabs>
        <w:spacing w:beforeLines="0" w:afterLines="0" w:line="560" w:lineRule="exact"/>
        <w:ind w:firstLine="640"/>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3.可持续影响指标，加快对钒钛新城的建设，加大招商引资力度，让更多企业入驻钒钛新城，为攀枝花的建设添砖加瓦。</w:t>
      </w:r>
    </w:p>
    <w:p>
      <w:pPr>
        <w:keepNext/>
        <w:keepLines/>
        <w:tabs>
          <w:tab w:val="left" w:pos="1940"/>
        </w:tabs>
        <w:spacing w:beforeLines="0" w:afterLines="0" w:line="560" w:lineRule="exact"/>
        <w:ind w:firstLine="640"/>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4．服务对象满意度指标，通过项目的实施，相关部领导和社会对钒钛高新区项目实施的满意度达到较好水平。</w:t>
      </w:r>
    </w:p>
    <w:p>
      <w:pPr>
        <w:keepNext w:val="0"/>
        <w:keepLines w:val="0"/>
        <w:pageBreakBefore w:val="0"/>
        <w:widowControl/>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pPr>
        <w:keepNext/>
        <w:keepLines/>
        <w:tabs>
          <w:tab w:val="left" w:pos="1940"/>
        </w:tabs>
        <w:spacing w:beforeLines="0" w:afterLines="0" w:line="560" w:lineRule="exact"/>
        <w:ind w:firstLine="640"/>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1.对于目标设定需要分科室部门分解，汇总后制定整体目标。目标设定后如何科学设定考核评价标准，特别是对于不能量化的目标如何评价。</w:t>
      </w:r>
    </w:p>
    <w:p>
      <w:pPr>
        <w:keepNext/>
        <w:keepLines/>
        <w:tabs>
          <w:tab w:val="left" w:pos="1940"/>
        </w:tabs>
        <w:spacing w:beforeLines="0" w:afterLines="0" w:line="560" w:lineRule="exact"/>
        <w:ind w:firstLine="640"/>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2.部门整体支出相比专项支出而言，社会效益较好，经济效益不明显。业务工作分项需更加清晰，不能很好的对比支出与成果，投入与产出效果，进而很难有针对性的发现问题，分析问题，提出解决方案。</w:t>
      </w:r>
    </w:p>
    <w:p>
      <w:pPr>
        <w:keepNext/>
        <w:keepLines/>
        <w:tabs>
          <w:tab w:val="left" w:pos="1940"/>
        </w:tabs>
        <w:spacing w:beforeLines="0" w:afterLines="0" w:line="560" w:lineRule="exact"/>
        <w:ind w:firstLine="640"/>
        <w:rPr>
          <w:rFonts w:hint="eastAsia" w:ascii="仿宋_GB2312" w:hAnsi="仿宋_GB2312" w:eastAsia="仿宋_GB2312" w:cs="仿宋_GB2312"/>
          <w:color w:val="auto"/>
          <w:sz w:val="32"/>
          <w:szCs w:val="24"/>
          <w:lang w:val="zh-CN" w:eastAsia="zh-CN"/>
        </w:rPr>
      </w:pPr>
      <w:r>
        <w:rPr>
          <w:rFonts w:hint="eastAsia" w:ascii="仿宋_GB2312" w:hAnsi="仿宋_GB2312" w:eastAsia="仿宋_GB2312" w:cs="仿宋_GB2312"/>
          <w:color w:val="auto"/>
          <w:sz w:val="32"/>
          <w:szCs w:val="24"/>
          <w:lang w:val="en-US" w:eastAsia="zh-CN"/>
        </w:rPr>
        <w:t>3.财务管理方面，会计核算还不够细致，对于有些能够细分的工作，未能详细分类核算，绩效评价基础数据不够精准。</w:t>
      </w:r>
    </w:p>
    <w:p>
      <w:pPr>
        <w:keepNext w:val="0"/>
        <w:keepLines w:val="0"/>
        <w:pageBreakBefore w:val="0"/>
        <w:widowControl/>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rPr>
      </w:pPr>
    </w:p>
    <w:p>
      <w:pPr>
        <w:keepNext w:val="0"/>
        <w:keepLines w:val="0"/>
        <w:pageBreakBefore w:val="0"/>
        <w:widowControl/>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eastAsia" w:ascii="Times New Roman" w:hAnsi="Times New Roman" w:eastAsia="楷体_GB2312" w:cs="Times New Roman"/>
          <w:b/>
          <w:bCs/>
          <w:color w:val="000000"/>
          <w:kern w:val="0"/>
          <w:sz w:val="32"/>
          <w:szCs w:val="32"/>
          <w:highlight w:val="none"/>
          <w:shd w:val="clear" w:color="auto" w:fill="FFFFFF"/>
          <w:lang w:val="zh-CN"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改进建议。</w:t>
      </w:r>
      <w:bookmarkStart w:id="47" w:name="_Hlk110546638"/>
    </w:p>
    <w:p>
      <w:pPr>
        <w:keepNext/>
        <w:keepLines/>
        <w:tabs>
          <w:tab w:val="left" w:pos="1940"/>
        </w:tabs>
        <w:spacing w:beforeLines="0" w:afterLines="0" w:line="560" w:lineRule="exact"/>
        <w:ind w:firstLine="640"/>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1.学习如何科学合理制定绩效目标及考核体系，充分发挥绩效工作效用。</w:t>
      </w:r>
    </w:p>
    <w:p>
      <w:pPr>
        <w:keepNext/>
        <w:keepLines/>
        <w:tabs>
          <w:tab w:val="left" w:pos="1940"/>
        </w:tabs>
        <w:spacing w:beforeLines="0" w:afterLines="0" w:line="560" w:lineRule="exact"/>
        <w:ind w:firstLine="640"/>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2.对于能细分、归总的业务工作，效仿专项支出进行管理，以便更好的进行绩效评价，发现不足，提出改进。</w:t>
      </w:r>
    </w:p>
    <w:p>
      <w:pPr>
        <w:keepNext/>
        <w:keepLines/>
        <w:tabs>
          <w:tab w:val="left" w:pos="1940"/>
        </w:tabs>
        <w:spacing w:beforeLines="0" w:afterLines="0" w:line="560" w:lineRule="exact"/>
        <w:ind w:firstLine="640"/>
        <w:rPr>
          <w:rFonts w:hint="eastAsia" w:ascii="仿宋_GB2312" w:hAnsi="仿宋_GB2312" w:eastAsia="仿宋_GB2312" w:cs="仿宋_GB2312"/>
          <w:color w:val="auto"/>
          <w:sz w:val="32"/>
          <w:szCs w:val="24"/>
          <w:lang w:val="zh-CN" w:eastAsia="zh-CN"/>
        </w:rPr>
      </w:pPr>
      <w:r>
        <w:rPr>
          <w:rFonts w:hint="eastAsia" w:ascii="仿宋_GB2312" w:hAnsi="仿宋_GB2312" w:eastAsia="仿宋_GB2312" w:cs="仿宋_GB2312"/>
          <w:color w:val="auto"/>
          <w:sz w:val="32"/>
          <w:szCs w:val="24"/>
          <w:lang w:val="en-US" w:eastAsia="zh-CN"/>
        </w:rPr>
        <w:t>3.财务上，会计核算要更加详细，为本单位各项工作的开展、总结、评估提供有效数据资料支撑，为各项业务工作更好的开展提供帮助。</w:t>
      </w:r>
    </w:p>
    <w:p>
      <w:pPr>
        <w:pStyle w:val="2"/>
        <w:numPr>
          <w:ilvl w:val="0"/>
          <w:numId w:val="0"/>
        </w:numPr>
        <w:ind w:leftChars="200"/>
        <w:rPr>
          <w:rFonts w:hint="eastAsia"/>
          <w:lang w:val="en" w:eastAsia="zh-CN"/>
        </w:rPr>
      </w:pPr>
    </w:p>
    <w:bookmarkEnd w:id="47"/>
    <w:p>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pPr>
        <w:pStyle w:val="2"/>
        <w:rPr>
          <w:rFonts w:hint="eastAsia" w:ascii="Times New Roman" w:hAnsi="Times New Roman" w:cs="宋体"/>
          <w:color w:val="FF0000"/>
          <w:kern w:val="0"/>
          <w:sz w:val="32"/>
          <w:szCs w:val="32"/>
          <w:highlight w:val="yellow"/>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pPr>
        <w:pStyle w:val="2"/>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pPr>
        <w:pStyle w:val="36"/>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pPr>
        <w:pStyle w:val="2"/>
        <w:spacing w:line="600" w:lineRule="exact"/>
        <w:jc w:val="center"/>
        <w:rPr>
          <w:rFonts w:ascii="Times New Roman" w:hAnsi="Times New Roman" w:eastAsia="方正小标宋简体"/>
          <w:bCs/>
          <w:sz w:val="36"/>
          <w:szCs w:val="36"/>
        </w:rPr>
      </w:pPr>
      <w:r>
        <w:rPr>
          <w:rFonts w:ascii="Times New Roman" w:hAnsi="Times New Roman" w:eastAsia="方正小标宋简体"/>
          <w:bCs/>
          <w:sz w:val="36"/>
          <w:szCs w:val="36"/>
        </w:rPr>
        <w:t>攀枝花</w:t>
      </w:r>
      <w:r>
        <w:rPr>
          <w:rFonts w:hint="eastAsia" w:ascii="Times New Roman" w:hAnsi="Times New Roman" w:eastAsia="方正小标宋简体"/>
          <w:bCs/>
          <w:sz w:val="36"/>
          <w:szCs w:val="36"/>
          <w:u w:val="none"/>
          <w:lang w:eastAsia="zh-CN"/>
        </w:rPr>
        <w:t>钛高新区城市管理事项（道路清扫保洁、生活及餐厨垃圾清运处置、生活垃圾分类等）</w:t>
      </w:r>
      <w:r>
        <w:rPr>
          <w:rFonts w:ascii="Times New Roman" w:hAnsi="Times New Roman" w:eastAsia="方正小标宋简体"/>
          <w:bCs/>
          <w:sz w:val="36"/>
          <w:szCs w:val="36"/>
        </w:rPr>
        <w:t>项目事前绩效评估报告</w:t>
      </w:r>
    </w:p>
    <w:p>
      <w:pPr>
        <w:snapToGrid w:val="0"/>
        <w:spacing w:line="600" w:lineRule="exact"/>
        <w:jc w:val="center"/>
        <w:rPr>
          <w:rFonts w:ascii="Times New Roman" w:hAnsi="Times New Roman" w:eastAsia="宋体"/>
          <w:b/>
          <w:bCs/>
          <w:sz w:val="44"/>
          <w:szCs w:val="44"/>
        </w:rPr>
      </w:pPr>
    </w:p>
    <w:p>
      <w:pPr>
        <w:pStyle w:val="37"/>
        <w:snapToGrid w:val="0"/>
        <w:spacing w:line="600" w:lineRule="exact"/>
        <w:ind w:left="709" w:firstLine="0" w:firstLineChars="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一、项目基本情况</w:t>
      </w:r>
    </w:p>
    <w:p>
      <w:pPr>
        <w:snapToGrid w:val="0"/>
        <w:spacing w:line="600" w:lineRule="exac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 xml:space="preserve">（一）项目名称： 城市管理事项（道路清扫保洁、生活及餐厨垃圾清运处置、生活垃圾分类等）             </w:t>
      </w:r>
    </w:p>
    <w:p>
      <w:pPr>
        <w:snapToGrid w:val="0"/>
        <w:spacing w:line="600" w:lineRule="exac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 xml:space="preserve">（二）项目单位： 生态环境和综合行政执法局                         </w:t>
      </w:r>
    </w:p>
    <w:p>
      <w:pPr>
        <w:snapToGrid w:val="0"/>
        <w:spacing w:line="600" w:lineRule="exac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 xml:space="preserve">（三）主管部门：  钒钛高新区管理委员会                        </w:t>
      </w:r>
    </w:p>
    <w:p>
      <w:pPr>
        <w:snapToGrid w:val="0"/>
        <w:spacing w:line="600" w:lineRule="exac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（四）项目属性：延续性项目</w:t>
      </w:r>
    </w:p>
    <w:p>
      <w:pPr>
        <w:snapToGrid w:val="0"/>
        <w:spacing w:line="600" w:lineRule="exac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（五）项目起止年限：2023年—2024年</w:t>
      </w:r>
    </w:p>
    <w:p>
      <w:pPr>
        <w:snapToGrid w:val="0"/>
        <w:spacing w:line="600" w:lineRule="exac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（六）资金申请情况：申报项目预算金额为 1000 万元（资金来源为财政资金或自有资金，其中财政资金1000  万元，自有资金  /  万元）</w:t>
      </w:r>
    </w:p>
    <w:p>
      <w:pPr>
        <w:snapToGrid w:val="0"/>
        <w:spacing w:line="600" w:lineRule="exac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（七）项目概况：</w:t>
      </w:r>
    </w:p>
    <w:p>
      <w:pPr>
        <w:snapToGrid w:val="0"/>
        <w:spacing w:line="600" w:lineRule="exact"/>
        <w:ind w:firstLine="640" w:firstLineChars="200"/>
        <w:jc w:val="left"/>
        <w:rPr>
          <w:rFonts w:hint="default"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本项目的主要内容是钒钛高新区金江片区道路清扫保洁、绿化管养及钒钛高新区金江片区和花城片区全范围内餐厨垃圾清运处置、生活垃圾处置和生活垃圾分类、燃气管网更新维修、金通工程、执法工作经费等事项 。2021年预算安排 500 万元，实际执行 560 万元；2022年预算安排 590 万元，实际执行 600 万元；2023年预算安排 887 万元，实际执行 949 万元；2024年拟申请资金预算 1469.7万元，较上年增长582.7 万元，较上年增长 65.69 %，增加的主要原因为 1.生活垃圾处置费单价增加4.5元/吨；2.（金江片区）道路清扫保洁及绿化管养单价进行调整，绿化增加1元/平方；道路清扫保洁单价增加0.5元/平方；3.新增燃气管网更新改建项目；4.2023年道路清扫保洁、绿化管养、生活垃圾清运等事项由于服务合同到期，在移交过程中办理手续，三季度、四季度费用还未进行支付，考虑在2024年进行支付。5.新增执法服装购买8.5万元。</w:t>
      </w:r>
    </w:p>
    <w:p>
      <w:pPr>
        <w:snapToGrid w:val="0"/>
        <w:spacing w:line="600" w:lineRule="exac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二、评估原则</w:t>
      </w:r>
    </w:p>
    <w:p>
      <w:pPr>
        <w:snapToGrid w:val="0"/>
        <w:spacing w:line="600" w:lineRule="exac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根据2024年预算编制要求，绩效评估本着真正过紧日子的原则，厉行节约、精打细算，从严从紧控制项目申报和预算安排，非必要项目和工作内容可压尽压、应压尽压，做到客观、绩效、精准。</w:t>
      </w:r>
    </w:p>
    <w:p>
      <w:pPr>
        <w:snapToGrid w:val="0"/>
        <w:spacing w:line="600" w:lineRule="exac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三、评估目的</w:t>
      </w:r>
    </w:p>
    <w:p>
      <w:pPr>
        <w:snapToGrid w:val="0"/>
        <w:spacing w:line="600" w:lineRule="exact"/>
        <w:ind w:firstLine="709"/>
        <w:jc w:val="left"/>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pPr>
        <w:pStyle w:val="37"/>
        <w:snapToGrid w:val="0"/>
        <w:spacing w:line="600" w:lineRule="exact"/>
        <w:ind w:left="709" w:firstLine="0" w:firstLineChars="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四、评估程序和方法</w:t>
      </w:r>
    </w:p>
    <w:p>
      <w:pPr>
        <w:snapToGrid w:val="0"/>
        <w:spacing w:line="600" w:lineRule="exact"/>
        <w:ind w:firstLine="640" w:firstLineChars="200"/>
        <w:jc w:val="left"/>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（一）评估程序</w:t>
      </w:r>
    </w:p>
    <w:p>
      <w:pPr>
        <w:snapToGrid w:val="0"/>
        <w:spacing w:line="600" w:lineRule="exac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2024年度预算项目绩效评估工作通过线上与线下相结合方式开展。按照有关规定和工作安排，我单位开展自行评估，通过自行成立/委托下级单位成立/委托第三方机构等方式组建评估组，通过收集被评估项目相关基础资料，并查阅资料、收集数据信息等，深入论证分析后，形成绩效评估报告。</w:t>
      </w:r>
    </w:p>
    <w:p>
      <w:pPr>
        <w:snapToGrid w:val="0"/>
        <w:spacing w:line="600" w:lineRule="exact"/>
        <w:ind w:firstLine="640" w:firstLineChars="200"/>
        <w:jc w:val="left"/>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（二）评估方法</w:t>
      </w:r>
    </w:p>
    <w:p>
      <w:pPr>
        <w:snapToGrid w:val="0"/>
        <w:spacing w:line="600" w:lineRule="exac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pPr>
        <w:snapToGrid w:val="0"/>
        <w:spacing w:line="600" w:lineRule="exact"/>
        <w:ind w:left="709"/>
        <w:jc w:val="left"/>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五、评估内容</w:t>
      </w:r>
    </w:p>
    <w:p>
      <w:pPr>
        <w:snapToGrid w:val="0"/>
        <w:spacing w:line="600" w:lineRule="exact"/>
        <w:ind w:left="709"/>
        <w:jc w:val="left"/>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（一）立项必要性</w:t>
      </w:r>
    </w:p>
    <w:p>
      <w:pPr>
        <w:spacing w:line="600" w:lineRule="exact"/>
        <w:ind w:firstLine="645"/>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1.按照管委会2023年第11次主任会议纪要要求，将道路清扫保洁及绿化养护和生活垃圾清运等涉及城市管理事项打包招标，购买服务，市场化运作。从2023年10月起，负责承包道路清扫保洁和绿化管养，期限3年，并与其签订承包合同书。以达到调整优化预算支出结构，从而提升高新区市容市貌和环境卫生质量。</w:t>
      </w:r>
    </w:p>
    <w:p>
      <w:pPr>
        <w:snapToGrid w:val="0"/>
        <w:spacing w:line="600" w:lineRule="exac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2.生活垃圾处置事项，按照《攀枝花市生活垃圾焚烧发电BOT项目特许经营权协议》，全市生活垃圾统一由攀枝花市旺能环保能源有限公司进行处置，并缴纳生活垃圾处置费用。</w:t>
      </w:r>
    </w:p>
    <w:p>
      <w:pPr>
        <w:snapToGrid w:val="0"/>
        <w:spacing w:line="600" w:lineRule="atLeast"/>
        <w:ind w:firstLine="627" w:firstLineChars="196"/>
        <w:jc w:val="left"/>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（二）投入经济性</w:t>
      </w:r>
    </w:p>
    <w:p>
      <w:pPr>
        <w:snapToGrid w:val="0"/>
        <w:spacing w:line="600" w:lineRule="atLeas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该项目申报预算1000万元，本次申报金额为1000万元，资金来源为自有资金。本项目通过公开招标方式，确定绿化管养单价为13元/m²、主干道道路保洁5、次干道道路保洁4元/m²、背街小巷清扫保洁2.5元/m²、公厕管护费用为5万/年、边坡绿化清理4元/平方。本次对项目投入经济性的评估是在项目事前绩效评估、预算测算的基础上，按照厉行节约的要求，通过三方单位合价最终确定金额。结合项目2023年开支情况结合2024年实际需求、相关费用标准及市场价格水平，重点对数量是否合理、投入是否经济、预算测算是否准确、测算过程是否详细、测算依据是否充分等方面进行了评估。评估认为，该项目任务数量基本合理、预算测算过程较为详细、测算依据基本充分、有一定的经济性。建议预算控制在 1469.7万元以内，与申报数相比，评减  0  万元，评减率  0  %（详见下表）。</w:t>
      </w:r>
    </w:p>
    <w:p>
      <w:pPr>
        <w:snapToGrid w:val="0"/>
        <w:spacing w:line="600" w:lineRule="atLeast"/>
        <w:ind w:firstLine="421" w:firstLineChars="200"/>
        <w:jc w:val="center"/>
        <w:rPr>
          <w:rFonts w:ascii="宋体" w:hAnsi="宋体" w:eastAsia="宋体"/>
          <w:b/>
          <w:sz w:val="21"/>
          <w:szCs w:val="21"/>
        </w:rPr>
      </w:pPr>
      <w:r>
        <w:rPr>
          <w:rFonts w:hint="eastAsia" w:ascii="宋体" w:hAnsi="宋体" w:eastAsia="宋体"/>
          <w:b/>
          <w:sz w:val="21"/>
          <w:szCs w:val="21"/>
          <w:lang w:eastAsia="zh-CN"/>
        </w:rPr>
        <w:t>城市管理事项</w:t>
      </w:r>
      <w:r>
        <w:rPr>
          <w:rFonts w:hint="eastAsia" w:ascii="宋体" w:hAnsi="宋体" w:eastAsia="宋体"/>
          <w:b/>
          <w:sz w:val="21"/>
          <w:szCs w:val="21"/>
        </w:rPr>
        <w:t>事前绩效评估汇</w:t>
      </w:r>
      <w:r>
        <w:rPr>
          <w:rFonts w:ascii="宋体" w:hAnsi="宋体" w:eastAsia="宋体"/>
          <w:b/>
          <w:sz w:val="21"/>
          <w:szCs w:val="21"/>
        </w:rPr>
        <w:t>总表</w:t>
      </w:r>
    </w:p>
    <w:tbl>
      <w:tblPr>
        <w:tblStyle w:val="17"/>
        <w:tblW w:w="9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3360"/>
        <w:gridCol w:w="1095"/>
        <w:gridCol w:w="1365"/>
        <w:gridCol w:w="1200"/>
        <w:gridCol w:w="795"/>
        <w:gridCol w:w="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33" w:type="dxa"/>
            <w:noWrap w:val="0"/>
            <w:vAlign w:val="center"/>
          </w:tcPr>
          <w:p>
            <w:pPr>
              <w:widowControl/>
              <w:snapToGrid w:val="0"/>
              <w:spacing w:line="320" w:lineRule="atLeast"/>
              <w:jc w:val="center"/>
              <w:rPr>
                <w:rFonts w:ascii="宋体" w:hAnsi="宋体" w:eastAsia="宋体"/>
                <w:kern w:val="0"/>
                <w:sz w:val="18"/>
                <w:szCs w:val="18"/>
              </w:rPr>
            </w:pPr>
            <w:r>
              <w:rPr>
                <w:rFonts w:ascii="宋体" w:hAnsi="宋体" w:eastAsia="宋体"/>
                <w:kern w:val="0"/>
                <w:sz w:val="18"/>
                <w:szCs w:val="18"/>
              </w:rPr>
              <w:t>序号</w:t>
            </w:r>
          </w:p>
        </w:tc>
        <w:tc>
          <w:tcPr>
            <w:tcW w:w="3360" w:type="dxa"/>
            <w:noWrap w:val="0"/>
            <w:vAlign w:val="center"/>
          </w:tcPr>
          <w:p>
            <w:pPr>
              <w:widowControl/>
              <w:snapToGrid w:val="0"/>
              <w:spacing w:line="320" w:lineRule="atLeast"/>
              <w:jc w:val="center"/>
              <w:rPr>
                <w:rFonts w:ascii="宋体" w:hAnsi="宋体" w:eastAsia="宋体"/>
                <w:kern w:val="0"/>
                <w:sz w:val="18"/>
                <w:szCs w:val="18"/>
              </w:rPr>
            </w:pPr>
            <w:r>
              <w:rPr>
                <w:rFonts w:ascii="宋体" w:hAnsi="宋体" w:eastAsia="宋体"/>
                <w:kern w:val="0"/>
                <w:sz w:val="18"/>
                <w:szCs w:val="18"/>
              </w:rPr>
              <w:t>项目内容</w:t>
            </w:r>
          </w:p>
        </w:tc>
        <w:tc>
          <w:tcPr>
            <w:tcW w:w="1095" w:type="dxa"/>
            <w:noWrap w:val="0"/>
            <w:vAlign w:val="center"/>
          </w:tcPr>
          <w:p>
            <w:pPr>
              <w:widowControl/>
              <w:snapToGrid w:val="0"/>
              <w:spacing w:line="320" w:lineRule="atLeast"/>
              <w:jc w:val="center"/>
              <w:rPr>
                <w:rFonts w:ascii="宋体" w:hAnsi="宋体" w:eastAsia="宋体"/>
                <w:kern w:val="0"/>
                <w:sz w:val="18"/>
                <w:szCs w:val="18"/>
              </w:rPr>
            </w:pPr>
            <w:r>
              <w:rPr>
                <w:rFonts w:ascii="宋体" w:hAnsi="宋体" w:eastAsia="宋体"/>
                <w:kern w:val="0"/>
                <w:sz w:val="18"/>
                <w:szCs w:val="18"/>
              </w:rPr>
              <w:t>申报预算</w:t>
            </w:r>
          </w:p>
        </w:tc>
        <w:tc>
          <w:tcPr>
            <w:tcW w:w="1365" w:type="dxa"/>
            <w:noWrap w:val="0"/>
            <w:vAlign w:val="center"/>
          </w:tcPr>
          <w:p>
            <w:pPr>
              <w:widowControl/>
              <w:snapToGrid w:val="0"/>
              <w:spacing w:line="320" w:lineRule="atLeast"/>
              <w:jc w:val="center"/>
              <w:rPr>
                <w:rFonts w:ascii="宋体" w:hAnsi="宋体" w:eastAsia="宋体"/>
                <w:kern w:val="0"/>
                <w:sz w:val="18"/>
                <w:szCs w:val="18"/>
              </w:rPr>
            </w:pPr>
            <w:r>
              <w:rPr>
                <w:rFonts w:ascii="宋体" w:hAnsi="宋体" w:eastAsia="宋体"/>
                <w:kern w:val="0"/>
                <w:sz w:val="18"/>
                <w:szCs w:val="18"/>
              </w:rPr>
              <w:t>送审金额</w:t>
            </w:r>
          </w:p>
        </w:tc>
        <w:tc>
          <w:tcPr>
            <w:tcW w:w="1200" w:type="dxa"/>
            <w:noWrap w:val="0"/>
            <w:vAlign w:val="center"/>
          </w:tcPr>
          <w:p>
            <w:pPr>
              <w:widowControl/>
              <w:snapToGrid w:val="0"/>
              <w:spacing w:line="320" w:lineRule="atLeast"/>
              <w:jc w:val="center"/>
              <w:rPr>
                <w:rFonts w:ascii="宋体" w:hAnsi="宋体" w:eastAsia="宋体"/>
                <w:kern w:val="0"/>
                <w:sz w:val="18"/>
                <w:szCs w:val="18"/>
              </w:rPr>
            </w:pPr>
            <w:r>
              <w:rPr>
                <w:rFonts w:ascii="宋体" w:hAnsi="宋体" w:eastAsia="宋体"/>
                <w:kern w:val="0"/>
                <w:sz w:val="18"/>
                <w:szCs w:val="18"/>
              </w:rPr>
              <w:t>建议控制额</w:t>
            </w:r>
          </w:p>
        </w:tc>
        <w:tc>
          <w:tcPr>
            <w:tcW w:w="795" w:type="dxa"/>
            <w:noWrap w:val="0"/>
            <w:vAlign w:val="center"/>
          </w:tcPr>
          <w:p>
            <w:pPr>
              <w:widowControl/>
              <w:snapToGrid w:val="0"/>
              <w:spacing w:line="320" w:lineRule="atLeast"/>
              <w:jc w:val="center"/>
              <w:rPr>
                <w:rFonts w:ascii="宋体" w:hAnsi="宋体" w:eastAsia="宋体"/>
                <w:kern w:val="0"/>
                <w:sz w:val="18"/>
                <w:szCs w:val="18"/>
              </w:rPr>
            </w:pPr>
            <w:r>
              <w:rPr>
                <w:rFonts w:ascii="宋体" w:hAnsi="宋体" w:eastAsia="宋体"/>
                <w:kern w:val="0"/>
                <w:sz w:val="18"/>
                <w:szCs w:val="18"/>
              </w:rPr>
              <w:t>核减</w:t>
            </w:r>
          </w:p>
        </w:tc>
        <w:tc>
          <w:tcPr>
            <w:tcW w:w="662" w:type="dxa"/>
            <w:vMerge w:val="restart"/>
            <w:noWrap w:val="0"/>
            <w:vAlign w:val="center"/>
          </w:tcPr>
          <w:p>
            <w:pPr>
              <w:widowControl/>
              <w:snapToGrid w:val="0"/>
              <w:spacing w:line="320" w:lineRule="atLeast"/>
              <w:jc w:val="center"/>
              <w:rPr>
                <w:rFonts w:ascii="宋体" w:hAnsi="宋体" w:eastAsia="宋体"/>
                <w:color w:val="000000"/>
                <w:kern w:val="0"/>
                <w:sz w:val="18"/>
                <w:szCs w:val="18"/>
              </w:rPr>
            </w:pPr>
            <w:r>
              <w:rPr>
                <w:rFonts w:ascii="宋体" w:hAnsi="宋体" w:eastAsia="宋体"/>
                <w:color w:val="000000"/>
                <w:kern w:val="0"/>
                <w:sz w:val="18"/>
                <w:szCs w:val="18"/>
              </w:rPr>
              <w:t>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3" w:type="dxa"/>
            <w:noWrap w:val="0"/>
            <w:vAlign w:val="center"/>
          </w:tcPr>
          <w:p>
            <w:pPr>
              <w:widowControl/>
              <w:snapToGrid w:val="0"/>
              <w:spacing w:line="320" w:lineRule="atLeast"/>
              <w:jc w:val="center"/>
              <w:rPr>
                <w:rFonts w:ascii="宋体" w:hAnsi="宋体" w:eastAsia="宋体"/>
                <w:kern w:val="0"/>
                <w:sz w:val="18"/>
                <w:szCs w:val="18"/>
              </w:rPr>
            </w:pPr>
            <w:r>
              <w:rPr>
                <w:rFonts w:ascii="宋体" w:hAnsi="宋体" w:eastAsia="宋体"/>
                <w:kern w:val="0"/>
                <w:sz w:val="18"/>
                <w:szCs w:val="18"/>
              </w:rPr>
              <w:t>　</w:t>
            </w:r>
          </w:p>
        </w:tc>
        <w:tc>
          <w:tcPr>
            <w:tcW w:w="3360" w:type="dxa"/>
            <w:noWrap w:val="0"/>
            <w:vAlign w:val="center"/>
          </w:tcPr>
          <w:p>
            <w:pPr>
              <w:widowControl/>
              <w:snapToGrid w:val="0"/>
              <w:spacing w:line="320" w:lineRule="atLeast"/>
              <w:jc w:val="center"/>
              <w:rPr>
                <w:rFonts w:ascii="宋体" w:hAnsi="宋体" w:eastAsia="宋体"/>
                <w:kern w:val="0"/>
                <w:sz w:val="18"/>
                <w:szCs w:val="18"/>
              </w:rPr>
            </w:pPr>
            <w:r>
              <w:rPr>
                <w:rFonts w:ascii="宋体" w:hAnsi="宋体" w:eastAsia="宋体"/>
                <w:kern w:val="0"/>
                <w:sz w:val="18"/>
                <w:szCs w:val="18"/>
              </w:rPr>
              <w:t>合计（万元）</w:t>
            </w:r>
          </w:p>
        </w:tc>
        <w:tc>
          <w:tcPr>
            <w:tcW w:w="1095"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1469.7</w:t>
            </w:r>
          </w:p>
        </w:tc>
        <w:tc>
          <w:tcPr>
            <w:tcW w:w="1365"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1469.7</w:t>
            </w:r>
          </w:p>
        </w:tc>
        <w:tc>
          <w:tcPr>
            <w:tcW w:w="1200"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1469.7</w:t>
            </w:r>
          </w:p>
        </w:tc>
        <w:tc>
          <w:tcPr>
            <w:tcW w:w="795" w:type="dxa"/>
            <w:noWrap w:val="0"/>
            <w:vAlign w:val="center"/>
          </w:tcPr>
          <w:p>
            <w:pPr>
              <w:widowControl/>
              <w:snapToGrid w:val="0"/>
              <w:spacing w:line="320" w:lineRule="atLeas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0</w:t>
            </w:r>
          </w:p>
        </w:tc>
        <w:tc>
          <w:tcPr>
            <w:tcW w:w="662" w:type="dxa"/>
            <w:vMerge w:val="continue"/>
            <w:noWrap w:val="0"/>
            <w:vAlign w:val="center"/>
          </w:tcPr>
          <w:p>
            <w:pPr>
              <w:widowControl/>
              <w:snapToGrid w:val="0"/>
              <w:spacing w:line="320" w:lineRule="atLeast"/>
              <w:jc w:val="left"/>
              <w:rPr>
                <w:rFonts w:ascii="宋体" w:hAnsi="宋体" w:eastAsia="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3" w:type="dxa"/>
            <w:noWrap w:val="0"/>
            <w:vAlign w:val="center"/>
          </w:tcPr>
          <w:p>
            <w:pPr>
              <w:widowControl/>
              <w:snapToGrid w:val="0"/>
              <w:spacing w:line="320" w:lineRule="atLeas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1</w:t>
            </w:r>
          </w:p>
        </w:tc>
        <w:tc>
          <w:tcPr>
            <w:tcW w:w="3360" w:type="dxa"/>
            <w:noWrap w:val="0"/>
            <w:vAlign w:val="center"/>
          </w:tcPr>
          <w:p>
            <w:pPr>
              <w:widowControl/>
              <w:snapToGrid w:val="0"/>
              <w:spacing w:line="320" w:lineRule="atLeast"/>
              <w:jc w:val="center"/>
              <w:rPr>
                <w:rFonts w:ascii="宋体" w:hAnsi="宋体" w:eastAsia="宋体"/>
                <w:kern w:val="0"/>
                <w:sz w:val="18"/>
                <w:szCs w:val="18"/>
              </w:rPr>
            </w:pPr>
            <w:r>
              <w:rPr>
                <w:rFonts w:hint="eastAsia" w:ascii="宋体" w:hAnsi="宋体" w:eastAsia="宋体"/>
                <w:kern w:val="0"/>
                <w:sz w:val="18"/>
                <w:szCs w:val="18"/>
              </w:rPr>
              <w:t>城乡环卫一体化项目（道路清扫保洁、生活垃圾清运等事项）</w:t>
            </w:r>
          </w:p>
        </w:tc>
        <w:tc>
          <w:tcPr>
            <w:tcW w:w="1095" w:type="dxa"/>
            <w:noWrap w:val="0"/>
            <w:vAlign w:val="center"/>
          </w:tcPr>
          <w:p>
            <w:pPr>
              <w:widowControl/>
              <w:snapToGrid w:val="0"/>
              <w:spacing w:line="320" w:lineRule="atLeast"/>
              <w:jc w:val="center"/>
              <w:rPr>
                <w:rFonts w:ascii="宋体" w:hAnsi="宋体" w:eastAsia="宋体"/>
                <w:kern w:val="0"/>
                <w:sz w:val="18"/>
                <w:szCs w:val="18"/>
              </w:rPr>
            </w:pPr>
            <w:r>
              <w:rPr>
                <w:rFonts w:hint="eastAsia" w:ascii="宋体" w:hAnsi="宋体" w:eastAsia="宋体"/>
                <w:kern w:val="0"/>
                <w:sz w:val="18"/>
                <w:szCs w:val="18"/>
              </w:rPr>
              <w:t>891.58</w:t>
            </w:r>
          </w:p>
        </w:tc>
        <w:tc>
          <w:tcPr>
            <w:tcW w:w="1365" w:type="dxa"/>
            <w:noWrap w:val="0"/>
            <w:vAlign w:val="center"/>
          </w:tcPr>
          <w:p>
            <w:pPr>
              <w:widowControl/>
              <w:snapToGrid w:val="0"/>
              <w:spacing w:line="320" w:lineRule="atLeast"/>
              <w:jc w:val="center"/>
              <w:rPr>
                <w:rFonts w:ascii="宋体" w:hAnsi="宋体" w:eastAsia="宋体"/>
                <w:kern w:val="0"/>
                <w:sz w:val="18"/>
                <w:szCs w:val="18"/>
              </w:rPr>
            </w:pPr>
            <w:r>
              <w:rPr>
                <w:rFonts w:hint="eastAsia" w:ascii="宋体" w:hAnsi="宋体" w:eastAsia="宋体"/>
                <w:kern w:val="0"/>
                <w:sz w:val="18"/>
                <w:szCs w:val="18"/>
              </w:rPr>
              <w:t>891.58</w:t>
            </w:r>
          </w:p>
        </w:tc>
        <w:tc>
          <w:tcPr>
            <w:tcW w:w="1200" w:type="dxa"/>
            <w:noWrap w:val="0"/>
            <w:vAlign w:val="center"/>
          </w:tcPr>
          <w:p>
            <w:pPr>
              <w:widowControl/>
              <w:snapToGrid w:val="0"/>
              <w:spacing w:line="320" w:lineRule="atLeast"/>
              <w:jc w:val="center"/>
              <w:rPr>
                <w:rFonts w:ascii="宋体" w:hAnsi="宋体" w:eastAsia="宋体"/>
                <w:kern w:val="0"/>
                <w:sz w:val="18"/>
                <w:szCs w:val="18"/>
              </w:rPr>
            </w:pPr>
            <w:r>
              <w:rPr>
                <w:rFonts w:hint="eastAsia" w:ascii="宋体" w:hAnsi="宋体" w:eastAsia="宋体"/>
                <w:kern w:val="0"/>
                <w:sz w:val="18"/>
                <w:szCs w:val="18"/>
              </w:rPr>
              <w:t>891.58</w:t>
            </w:r>
          </w:p>
        </w:tc>
        <w:tc>
          <w:tcPr>
            <w:tcW w:w="795" w:type="dxa"/>
            <w:noWrap w:val="0"/>
            <w:vAlign w:val="center"/>
          </w:tcPr>
          <w:p>
            <w:pPr>
              <w:widowControl/>
              <w:snapToGrid w:val="0"/>
              <w:spacing w:line="320" w:lineRule="atLeas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0</w:t>
            </w:r>
          </w:p>
        </w:tc>
        <w:tc>
          <w:tcPr>
            <w:tcW w:w="662" w:type="dxa"/>
            <w:noWrap w:val="0"/>
            <w:vAlign w:val="center"/>
          </w:tcPr>
          <w:p>
            <w:pPr>
              <w:widowControl/>
              <w:snapToGrid w:val="0"/>
              <w:spacing w:line="320" w:lineRule="atLeast"/>
              <w:jc w:val="left"/>
              <w:rPr>
                <w:rFonts w:ascii="宋体" w:hAnsi="宋体" w:eastAsia="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3" w:type="dxa"/>
            <w:noWrap w:val="0"/>
            <w:vAlign w:val="center"/>
          </w:tcPr>
          <w:p>
            <w:pPr>
              <w:widowControl/>
              <w:snapToGrid w:val="0"/>
              <w:spacing w:line="320" w:lineRule="atLeas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2</w:t>
            </w:r>
          </w:p>
        </w:tc>
        <w:tc>
          <w:tcPr>
            <w:tcW w:w="3360" w:type="dxa"/>
            <w:noWrap w:val="0"/>
            <w:vAlign w:val="center"/>
          </w:tcPr>
          <w:p>
            <w:pPr>
              <w:widowControl/>
              <w:snapToGrid w:val="0"/>
              <w:spacing w:line="320" w:lineRule="atLeast"/>
              <w:jc w:val="center"/>
              <w:rPr>
                <w:rFonts w:hint="eastAsia" w:ascii="宋体" w:hAnsi="宋体" w:eastAsia="宋体"/>
                <w:kern w:val="0"/>
                <w:sz w:val="18"/>
                <w:szCs w:val="18"/>
              </w:rPr>
            </w:pPr>
            <w:r>
              <w:rPr>
                <w:rFonts w:hint="eastAsia" w:ascii="宋体" w:hAnsi="宋体" w:eastAsia="宋体"/>
                <w:kern w:val="0"/>
                <w:sz w:val="18"/>
                <w:szCs w:val="18"/>
              </w:rPr>
              <w:t>生活垃圾分类项目</w:t>
            </w:r>
          </w:p>
        </w:tc>
        <w:tc>
          <w:tcPr>
            <w:tcW w:w="1095"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20</w:t>
            </w:r>
          </w:p>
        </w:tc>
        <w:tc>
          <w:tcPr>
            <w:tcW w:w="1365"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20</w:t>
            </w:r>
          </w:p>
        </w:tc>
        <w:tc>
          <w:tcPr>
            <w:tcW w:w="1200"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20</w:t>
            </w:r>
          </w:p>
        </w:tc>
        <w:tc>
          <w:tcPr>
            <w:tcW w:w="795" w:type="dxa"/>
            <w:noWrap w:val="0"/>
            <w:vAlign w:val="center"/>
          </w:tcPr>
          <w:p>
            <w:pPr>
              <w:widowControl/>
              <w:snapToGrid w:val="0"/>
              <w:spacing w:line="320" w:lineRule="atLeas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0</w:t>
            </w:r>
          </w:p>
        </w:tc>
        <w:tc>
          <w:tcPr>
            <w:tcW w:w="662" w:type="dxa"/>
            <w:noWrap w:val="0"/>
            <w:vAlign w:val="center"/>
          </w:tcPr>
          <w:p>
            <w:pPr>
              <w:widowControl/>
              <w:snapToGrid w:val="0"/>
              <w:spacing w:line="320" w:lineRule="atLeast"/>
              <w:jc w:val="left"/>
              <w:rPr>
                <w:rFonts w:ascii="宋体" w:hAnsi="宋体" w:eastAsia="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3" w:type="dxa"/>
            <w:noWrap w:val="0"/>
            <w:vAlign w:val="center"/>
          </w:tcPr>
          <w:p>
            <w:pPr>
              <w:widowControl/>
              <w:snapToGrid w:val="0"/>
              <w:spacing w:line="320" w:lineRule="atLeas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3</w:t>
            </w:r>
          </w:p>
        </w:tc>
        <w:tc>
          <w:tcPr>
            <w:tcW w:w="3360" w:type="dxa"/>
            <w:noWrap w:val="0"/>
            <w:vAlign w:val="center"/>
          </w:tcPr>
          <w:p>
            <w:pPr>
              <w:widowControl/>
              <w:snapToGrid w:val="0"/>
              <w:spacing w:line="320" w:lineRule="atLeast"/>
              <w:jc w:val="center"/>
              <w:rPr>
                <w:rFonts w:hint="eastAsia" w:ascii="宋体" w:hAnsi="宋体" w:eastAsia="宋体"/>
                <w:kern w:val="0"/>
                <w:sz w:val="18"/>
                <w:szCs w:val="18"/>
              </w:rPr>
            </w:pPr>
            <w:r>
              <w:rPr>
                <w:rFonts w:hint="eastAsia" w:ascii="宋体" w:hAnsi="宋体" w:eastAsia="宋体"/>
                <w:kern w:val="0"/>
                <w:sz w:val="18"/>
                <w:szCs w:val="18"/>
              </w:rPr>
              <w:t>生活垃圾处置费用</w:t>
            </w:r>
          </w:p>
        </w:tc>
        <w:tc>
          <w:tcPr>
            <w:tcW w:w="1095"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50</w:t>
            </w:r>
          </w:p>
        </w:tc>
        <w:tc>
          <w:tcPr>
            <w:tcW w:w="1365"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50</w:t>
            </w:r>
          </w:p>
        </w:tc>
        <w:tc>
          <w:tcPr>
            <w:tcW w:w="1200"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50</w:t>
            </w:r>
          </w:p>
        </w:tc>
        <w:tc>
          <w:tcPr>
            <w:tcW w:w="795" w:type="dxa"/>
            <w:noWrap w:val="0"/>
            <w:vAlign w:val="center"/>
          </w:tcPr>
          <w:p>
            <w:pPr>
              <w:widowControl/>
              <w:snapToGrid w:val="0"/>
              <w:spacing w:line="320" w:lineRule="atLeas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0</w:t>
            </w:r>
          </w:p>
        </w:tc>
        <w:tc>
          <w:tcPr>
            <w:tcW w:w="662" w:type="dxa"/>
            <w:noWrap w:val="0"/>
            <w:vAlign w:val="center"/>
          </w:tcPr>
          <w:p>
            <w:pPr>
              <w:widowControl/>
              <w:snapToGrid w:val="0"/>
              <w:spacing w:line="320" w:lineRule="atLeast"/>
              <w:jc w:val="left"/>
              <w:rPr>
                <w:rFonts w:ascii="宋体" w:hAnsi="宋体" w:eastAsia="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3" w:type="dxa"/>
            <w:noWrap w:val="0"/>
            <w:vAlign w:val="center"/>
          </w:tcPr>
          <w:p>
            <w:pPr>
              <w:widowControl/>
              <w:snapToGrid w:val="0"/>
              <w:spacing w:line="320" w:lineRule="atLeas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4</w:t>
            </w:r>
          </w:p>
        </w:tc>
        <w:tc>
          <w:tcPr>
            <w:tcW w:w="3360" w:type="dxa"/>
            <w:noWrap w:val="0"/>
            <w:vAlign w:val="center"/>
          </w:tcPr>
          <w:p>
            <w:pPr>
              <w:widowControl/>
              <w:snapToGrid w:val="0"/>
              <w:spacing w:line="320" w:lineRule="atLeast"/>
              <w:jc w:val="center"/>
              <w:rPr>
                <w:rFonts w:hint="eastAsia" w:ascii="宋体" w:hAnsi="宋体" w:eastAsia="宋体"/>
                <w:kern w:val="0"/>
                <w:sz w:val="18"/>
                <w:szCs w:val="18"/>
                <w:lang w:eastAsia="zh-CN"/>
              </w:rPr>
            </w:pPr>
            <w:r>
              <w:rPr>
                <w:rFonts w:hint="eastAsia" w:ascii="宋体" w:hAnsi="宋体" w:eastAsia="宋体"/>
                <w:kern w:val="0"/>
                <w:sz w:val="18"/>
                <w:szCs w:val="18"/>
                <w:lang w:eastAsia="zh-CN"/>
              </w:rPr>
              <w:t>餐厨垃圾清运及处置费用</w:t>
            </w:r>
          </w:p>
        </w:tc>
        <w:tc>
          <w:tcPr>
            <w:tcW w:w="1095"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50</w:t>
            </w:r>
          </w:p>
        </w:tc>
        <w:tc>
          <w:tcPr>
            <w:tcW w:w="1365"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50</w:t>
            </w:r>
          </w:p>
        </w:tc>
        <w:tc>
          <w:tcPr>
            <w:tcW w:w="1200"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50</w:t>
            </w:r>
          </w:p>
        </w:tc>
        <w:tc>
          <w:tcPr>
            <w:tcW w:w="795" w:type="dxa"/>
            <w:noWrap w:val="0"/>
            <w:vAlign w:val="center"/>
          </w:tcPr>
          <w:p>
            <w:pPr>
              <w:widowControl/>
              <w:snapToGrid w:val="0"/>
              <w:spacing w:line="320" w:lineRule="atLeas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0</w:t>
            </w:r>
          </w:p>
        </w:tc>
        <w:tc>
          <w:tcPr>
            <w:tcW w:w="662" w:type="dxa"/>
            <w:noWrap w:val="0"/>
            <w:vAlign w:val="center"/>
          </w:tcPr>
          <w:p>
            <w:pPr>
              <w:widowControl/>
              <w:snapToGrid w:val="0"/>
              <w:spacing w:line="320" w:lineRule="atLeast"/>
              <w:jc w:val="left"/>
              <w:rPr>
                <w:rFonts w:ascii="宋体" w:hAnsi="宋体" w:eastAsia="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3" w:type="dxa"/>
            <w:noWrap w:val="0"/>
            <w:vAlign w:val="center"/>
          </w:tcPr>
          <w:p>
            <w:pPr>
              <w:widowControl/>
              <w:snapToGrid w:val="0"/>
              <w:spacing w:line="320" w:lineRule="atLeas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5</w:t>
            </w:r>
          </w:p>
        </w:tc>
        <w:tc>
          <w:tcPr>
            <w:tcW w:w="3360"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2023年创文环境整治项目</w:t>
            </w:r>
          </w:p>
        </w:tc>
        <w:tc>
          <w:tcPr>
            <w:tcW w:w="1095"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7.13</w:t>
            </w:r>
          </w:p>
        </w:tc>
        <w:tc>
          <w:tcPr>
            <w:tcW w:w="1365"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7.13</w:t>
            </w:r>
          </w:p>
        </w:tc>
        <w:tc>
          <w:tcPr>
            <w:tcW w:w="1200"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7.13</w:t>
            </w:r>
          </w:p>
        </w:tc>
        <w:tc>
          <w:tcPr>
            <w:tcW w:w="795"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0</w:t>
            </w:r>
          </w:p>
        </w:tc>
        <w:tc>
          <w:tcPr>
            <w:tcW w:w="662" w:type="dxa"/>
            <w:noWrap w:val="0"/>
            <w:vAlign w:val="center"/>
          </w:tcPr>
          <w:p>
            <w:pPr>
              <w:widowControl/>
              <w:snapToGrid w:val="0"/>
              <w:spacing w:line="320" w:lineRule="atLeast"/>
              <w:jc w:val="left"/>
              <w:rPr>
                <w:rFonts w:ascii="宋体" w:hAnsi="宋体" w:eastAsia="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3" w:type="dxa"/>
            <w:noWrap w:val="0"/>
            <w:vAlign w:val="center"/>
          </w:tcPr>
          <w:p>
            <w:pPr>
              <w:widowControl/>
              <w:snapToGrid w:val="0"/>
              <w:spacing w:line="320" w:lineRule="atLeas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6</w:t>
            </w:r>
          </w:p>
        </w:tc>
        <w:tc>
          <w:tcPr>
            <w:tcW w:w="3360" w:type="dxa"/>
            <w:noWrap w:val="0"/>
            <w:vAlign w:val="center"/>
          </w:tcPr>
          <w:p>
            <w:pPr>
              <w:widowControl/>
              <w:snapToGrid w:val="0"/>
              <w:spacing w:line="320" w:lineRule="atLeas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2024年燃气管网更新改造项目</w:t>
            </w:r>
          </w:p>
        </w:tc>
        <w:tc>
          <w:tcPr>
            <w:tcW w:w="1095"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10</w:t>
            </w:r>
          </w:p>
        </w:tc>
        <w:tc>
          <w:tcPr>
            <w:tcW w:w="1365"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10</w:t>
            </w:r>
          </w:p>
        </w:tc>
        <w:tc>
          <w:tcPr>
            <w:tcW w:w="1200"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10</w:t>
            </w:r>
          </w:p>
        </w:tc>
        <w:tc>
          <w:tcPr>
            <w:tcW w:w="795"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0</w:t>
            </w:r>
          </w:p>
        </w:tc>
        <w:tc>
          <w:tcPr>
            <w:tcW w:w="662" w:type="dxa"/>
            <w:noWrap w:val="0"/>
            <w:vAlign w:val="center"/>
          </w:tcPr>
          <w:p>
            <w:pPr>
              <w:widowControl/>
              <w:snapToGrid w:val="0"/>
              <w:spacing w:line="320" w:lineRule="atLeast"/>
              <w:jc w:val="left"/>
              <w:rPr>
                <w:rFonts w:ascii="宋体" w:hAnsi="宋体" w:eastAsia="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3" w:type="dxa"/>
            <w:noWrap w:val="0"/>
            <w:vAlign w:val="center"/>
          </w:tcPr>
          <w:p>
            <w:pPr>
              <w:widowControl/>
              <w:snapToGrid w:val="0"/>
              <w:spacing w:line="320" w:lineRule="atLeas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7</w:t>
            </w:r>
          </w:p>
        </w:tc>
        <w:tc>
          <w:tcPr>
            <w:tcW w:w="3360" w:type="dxa"/>
            <w:noWrap w:val="0"/>
            <w:vAlign w:val="center"/>
          </w:tcPr>
          <w:p>
            <w:pPr>
              <w:widowControl/>
              <w:snapToGrid w:val="0"/>
              <w:spacing w:line="320" w:lineRule="atLeas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2021年“金通工程”零星项目</w:t>
            </w:r>
          </w:p>
        </w:tc>
        <w:tc>
          <w:tcPr>
            <w:tcW w:w="1095"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8.49</w:t>
            </w:r>
          </w:p>
        </w:tc>
        <w:tc>
          <w:tcPr>
            <w:tcW w:w="1365"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8.49</w:t>
            </w:r>
          </w:p>
        </w:tc>
        <w:tc>
          <w:tcPr>
            <w:tcW w:w="1200"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8.49</w:t>
            </w:r>
          </w:p>
        </w:tc>
        <w:tc>
          <w:tcPr>
            <w:tcW w:w="795"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0</w:t>
            </w:r>
          </w:p>
        </w:tc>
        <w:tc>
          <w:tcPr>
            <w:tcW w:w="662" w:type="dxa"/>
            <w:noWrap w:val="0"/>
            <w:vAlign w:val="center"/>
          </w:tcPr>
          <w:p>
            <w:pPr>
              <w:widowControl/>
              <w:snapToGrid w:val="0"/>
              <w:spacing w:line="320" w:lineRule="atLeast"/>
              <w:jc w:val="left"/>
              <w:rPr>
                <w:rFonts w:ascii="宋体" w:hAnsi="宋体" w:eastAsia="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3" w:type="dxa"/>
            <w:noWrap w:val="0"/>
            <w:vAlign w:val="center"/>
          </w:tcPr>
          <w:p>
            <w:pPr>
              <w:widowControl/>
              <w:snapToGrid w:val="0"/>
              <w:spacing w:line="320" w:lineRule="atLeas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8</w:t>
            </w:r>
          </w:p>
        </w:tc>
        <w:tc>
          <w:tcPr>
            <w:tcW w:w="3360" w:type="dxa"/>
            <w:noWrap w:val="0"/>
            <w:vAlign w:val="center"/>
          </w:tcPr>
          <w:p>
            <w:pPr>
              <w:widowControl/>
              <w:snapToGrid w:val="0"/>
              <w:spacing w:line="320" w:lineRule="atLeas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2023年道路清扫保洁和绿化管护项目三季度费用</w:t>
            </w:r>
          </w:p>
        </w:tc>
        <w:tc>
          <w:tcPr>
            <w:tcW w:w="1095"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148</w:t>
            </w:r>
          </w:p>
        </w:tc>
        <w:tc>
          <w:tcPr>
            <w:tcW w:w="1365"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148</w:t>
            </w:r>
          </w:p>
        </w:tc>
        <w:tc>
          <w:tcPr>
            <w:tcW w:w="1200"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148</w:t>
            </w:r>
          </w:p>
        </w:tc>
        <w:tc>
          <w:tcPr>
            <w:tcW w:w="795"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0</w:t>
            </w:r>
          </w:p>
        </w:tc>
        <w:tc>
          <w:tcPr>
            <w:tcW w:w="662" w:type="dxa"/>
            <w:noWrap w:val="0"/>
            <w:vAlign w:val="center"/>
          </w:tcPr>
          <w:p>
            <w:pPr>
              <w:widowControl/>
              <w:snapToGrid w:val="0"/>
              <w:spacing w:line="320" w:lineRule="atLeast"/>
              <w:jc w:val="left"/>
              <w:rPr>
                <w:rFonts w:ascii="宋体" w:hAnsi="宋体" w:eastAsia="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3" w:type="dxa"/>
            <w:noWrap w:val="0"/>
            <w:vAlign w:val="center"/>
          </w:tcPr>
          <w:p>
            <w:pPr>
              <w:widowControl/>
              <w:snapToGrid w:val="0"/>
              <w:spacing w:line="320" w:lineRule="atLeast"/>
              <w:jc w:val="center"/>
              <w:rPr>
                <w:rFonts w:hint="eastAsia" w:ascii="宋体" w:hAnsi="宋体" w:eastAsia="宋体"/>
                <w:kern w:val="0"/>
                <w:sz w:val="18"/>
                <w:szCs w:val="18"/>
                <w:lang w:val="en-US" w:eastAsia="zh-CN"/>
              </w:rPr>
            </w:pPr>
          </w:p>
        </w:tc>
        <w:tc>
          <w:tcPr>
            <w:tcW w:w="3360" w:type="dxa"/>
            <w:noWrap w:val="0"/>
            <w:vAlign w:val="center"/>
          </w:tcPr>
          <w:p>
            <w:pPr>
              <w:widowControl/>
              <w:snapToGrid w:val="0"/>
              <w:spacing w:line="320" w:lineRule="atLeas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道路交通安全技防设施安装项目</w:t>
            </w:r>
          </w:p>
        </w:tc>
        <w:tc>
          <w:tcPr>
            <w:tcW w:w="1095"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20</w:t>
            </w:r>
          </w:p>
        </w:tc>
        <w:tc>
          <w:tcPr>
            <w:tcW w:w="1365"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20</w:t>
            </w:r>
          </w:p>
        </w:tc>
        <w:tc>
          <w:tcPr>
            <w:tcW w:w="1200"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20</w:t>
            </w:r>
          </w:p>
        </w:tc>
        <w:tc>
          <w:tcPr>
            <w:tcW w:w="795" w:type="dxa"/>
            <w:noWrap w:val="0"/>
            <w:vAlign w:val="center"/>
          </w:tcPr>
          <w:p>
            <w:pPr>
              <w:widowControl/>
              <w:snapToGrid w:val="0"/>
              <w:spacing w:line="320" w:lineRule="atLeast"/>
              <w:jc w:val="center"/>
              <w:rPr>
                <w:rFonts w:hint="eastAsia" w:ascii="宋体" w:hAnsi="宋体" w:eastAsia="宋体"/>
                <w:kern w:val="0"/>
                <w:sz w:val="18"/>
                <w:szCs w:val="18"/>
                <w:lang w:val="en-US" w:eastAsia="zh-CN"/>
              </w:rPr>
            </w:pPr>
          </w:p>
        </w:tc>
        <w:tc>
          <w:tcPr>
            <w:tcW w:w="662" w:type="dxa"/>
            <w:noWrap w:val="0"/>
            <w:vAlign w:val="center"/>
          </w:tcPr>
          <w:p>
            <w:pPr>
              <w:widowControl/>
              <w:snapToGrid w:val="0"/>
              <w:spacing w:line="320" w:lineRule="atLeast"/>
              <w:jc w:val="left"/>
              <w:rPr>
                <w:rFonts w:ascii="宋体" w:hAnsi="宋体" w:eastAsia="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3" w:type="dxa"/>
            <w:noWrap w:val="0"/>
            <w:vAlign w:val="center"/>
          </w:tcPr>
          <w:p>
            <w:pPr>
              <w:widowControl/>
              <w:snapToGrid w:val="0"/>
              <w:spacing w:line="320" w:lineRule="atLeas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9</w:t>
            </w:r>
          </w:p>
        </w:tc>
        <w:tc>
          <w:tcPr>
            <w:tcW w:w="3360" w:type="dxa"/>
            <w:noWrap w:val="0"/>
            <w:vAlign w:val="center"/>
          </w:tcPr>
          <w:p>
            <w:pPr>
              <w:widowControl/>
              <w:snapToGrid w:val="0"/>
              <w:spacing w:line="320" w:lineRule="atLeas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2023年生活垃圾清运及餐厨垃圾清运项目三季度费用</w:t>
            </w:r>
          </w:p>
        </w:tc>
        <w:tc>
          <w:tcPr>
            <w:tcW w:w="1095"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56</w:t>
            </w:r>
          </w:p>
        </w:tc>
        <w:tc>
          <w:tcPr>
            <w:tcW w:w="1365"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56</w:t>
            </w:r>
          </w:p>
        </w:tc>
        <w:tc>
          <w:tcPr>
            <w:tcW w:w="1200"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56</w:t>
            </w:r>
          </w:p>
        </w:tc>
        <w:tc>
          <w:tcPr>
            <w:tcW w:w="795"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0</w:t>
            </w:r>
          </w:p>
        </w:tc>
        <w:tc>
          <w:tcPr>
            <w:tcW w:w="662" w:type="dxa"/>
            <w:noWrap w:val="0"/>
            <w:vAlign w:val="center"/>
          </w:tcPr>
          <w:p>
            <w:pPr>
              <w:widowControl/>
              <w:snapToGrid w:val="0"/>
              <w:spacing w:line="320" w:lineRule="atLeast"/>
              <w:jc w:val="left"/>
              <w:rPr>
                <w:rFonts w:ascii="宋体" w:hAnsi="宋体" w:eastAsia="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3"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10</w:t>
            </w:r>
          </w:p>
        </w:tc>
        <w:tc>
          <w:tcPr>
            <w:tcW w:w="3360" w:type="dxa"/>
            <w:noWrap w:val="0"/>
            <w:vAlign w:val="center"/>
          </w:tcPr>
          <w:p>
            <w:pPr>
              <w:widowControl/>
              <w:snapToGrid w:val="0"/>
              <w:spacing w:line="320" w:lineRule="atLeas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城乡环卫一体化项目2023年4季度费用</w:t>
            </w:r>
          </w:p>
        </w:tc>
        <w:tc>
          <w:tcPr>
            <w:tcW w:w="1095"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200</w:t>
            </w:r>
          </w:p>
        </w:tc>
        <w:tc>
          <w:tcPr>
            <w:tcW w:w="1365"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200</w:t>
            </w:r>
          </w:p>
        </w:tc>
        <w:tc>
          <w:tcPr>
            <w:tcW w:w="1200"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200</w:t>
            </w:r>
          </w:p>
        </w:tc>
        <w:tc>
          <w:tcPr>
            <w:tcW w:w="795"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0</w:t>
            </w:r>
          </w:p>
        </w:tc>
        <w:tc>
          <w:tcPr>
            <w:tcW w:w="662" w:type="dxa"/>
            <w:noWrap w:val="0"/>
            <w:vAlign w:val="center"/>
          </w:tcPr>
          <w:p>
            <w:pPr>
              <w:widowControl/>
              <w:snapToGrid w:val="0"/>
              <w:spacing w:line="320" w:lineRule="atLeast"/>
              <w:jc w:val="left"/>
              <w:rPr>
                <w:rFonts w:ascii="宋体" w:hAnsi="宋体" w:eastAsia="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3"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11</w:t>
            </w:r>
          </w:p>
        </w:tc>
        <w:tc>
          <w:tcPr>
            <w:tcW w:w="3360" w:type="dxa"/>
            <w:noWrap w:val="0"/>
            <w:vAlign w:val="center"/>
          </w:tcPr>
          <w:p>
            <w:pPr>
              <w:widowControl/>
              <w:snapToGrid w:val="0"/>
              <w:spacing w:line="320" w:lineRule="atLeas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执法服装购买</w:t>
            </w:r>
          </w:p>
        </w:tc>
        <w:tc>
          <w:tcPr>
            <w:tcW w:w="1095"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8.5</w:t>
            </w:r>
          </w:p>
        </w:tc>
        <w:tc>
          <w:tcPr>
            <w:tcW w:w="1365"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8.5</w:t>
            </w:r>
          </w:p>
        </w:tc>
        <w:tc>
          <w:tcPr>
            <w:tcW w:w="1200"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8.5</w:t>
            </w:r>
          </w:p>
        </w:tc>
        <w:tc>
          <w:tcPr>
            <w:tcW w:w="795"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0</w:t>
            </w:r>
          </w:p>
        </w:tc>
        <w:tc>
          <w:tcPr>
            <w:tcW w:w="662" w:type="dxa"/>
            <w:noWrap w:val="0"/>
            <w:vAlign w:val="center"/>
          </w:tcPr>
          <w:p>
            <w:pPr>
              <w:widowControl/>
              <w:snapToGrid w:val="0"/>
              <w:spacing w:line="320" w:lineRule="atLeast"/>
              <w:jc w:val="left"/>
              <w:rPr>
                <w:rFonts w:ascii="宋体" w:hAnsi="宋体" w:eastAsia="宋体"/>
                <w:color w:val="000000"/>
                <w:kern w:val="0"/>
                <w:sz w:val="18"/>
                <w:szCs w:val="18"/>
              </w:rPr>
            </w:pPr>
          </w:p>
        </w:tc>
      </w:tr>
    </w:tbl>
    <w:p>
      <w:pPr>
        <w:snapToGrid w:val="0"/>
        <w:spacing w:line="600" w:lineRule="atLeas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（三）目标合理性</w:t>
      </w:r>
    </w:p>
    <w:p>
      <w:pPr>
        <w:snapToGrid w:val="0"/>
        <w:spacing w:line="600" w:lineRule="atLeas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本次绩效评价指标采用共性指标与个性指标相结合的方式，使用投入、项目管理、产出与效益3个一级指标，资金落实、财务管理、目标设定情况等9个二级指标，资金到位率、管理制度健全性、保洁质量考核制度与执行情况、道路保洁项目招投标情况等35个三级指标。</w:t>
      </w:r>
      <w:bookmarkStart w:id="48" w:name="_Toc457757116"/>
      <w:bookmarkEnd w:id="48"/>
      <w:r>
        <w:rPr>
          <w:rFonts w:hint="eastAsia" w:ascii="仿宋_GB2312" w:hAnsi="仿宋_GB2312" w:eastAsia="仿宋_GB2312" w:cs="仿宋_GB2312"/>
          <w:color w:val="auto"/>
          <w:kern w:val="2"/>
          <w:sz w:val="32"/>
          <w:szCs w:val="24"/>
          <w:lang w:val="en-US" w:eastAsia="zh-CN" w:bidi="ar-SA"/>
        </w:rPr>
        <w:t>评价工作组通过走访座谈、实地查阅和调查问卷等方式对城市管理事项资金实施评价。</w:t>
      </w:r>
    </w:p>
    <w:p>
      <w:pPr>
        <w:snapToGrid w:val="0"/>
        <w:spacing w:line="600" w:lineRule="atLeast"/>
        <w:jc w:val="center"/>
        <w:rPr>
          <w:rFonts w:ascii="仿宋_GB2312" w:hAnsi="宋体"/>
          <w:szCs w:val="32"/>
        </w:rPr>
      </w:pPr>
      <w:r>
        <w:rPr>
          <w:rFonts w:hint="eastAsia" w:ascii="宋体" w:hAnsi="宋体" w:eastAsia="宋体"/>
          <w:b/>
          <w:sz w:val="21"/>
          <w:szCs w:val="21"/>
        </w:rPr>
        <w:t>攀枝花市本级</w:t>
      </w:r>
      <w:r>
        <w:rPr>
          <w:rFonts w:hint="eastAsia" w:ascii="宋体" w:hAnsi="宋体" w:eastAsia="宋体"/>
          <w:b/>
          <w:sz w:val="21"/>
          <w:szCs w:val="21"/>
          <w:lang w:eastAsia="zh-CN"/>
        </w:rPr>
        <w:t>城市管理事项</w:t>
      </w:r>
      <w:r>
        <w:rPr>
          <w:rFonts w:hint="eastAsia" w:ascii="宋体" w:hAnsi="宋体" w:eastAsia="宋体"/>
          <w:b/>
          <w:sz w:val="21"/>
          <w:szCs w:val="21"/>
        </w:rPr>
        <w:t>项目绩效目标</w:t>
      </w:r>
      <w:r>
        <w:rPr>
          <w:rFonts w:ascii="宋体" w:hAnsi="宋体" w:eastAsia="宋体"/>
          <w:b/>
          <w:sz w:val="21"/>
          <w:szCs w:val="21"/>
        </w:rPr>
        <w:t>表</w:t>
      </w:r>
    </w:p>
    <w:tbl>
      <w:tblPr>
        <w:tblStyle w:val="17"/>
        <w:tblW w:w="8931" w:type="dxa"/>
        <w:tblInd w:w="15" w:type="dxa"/>
        <w:tblLayout w:type="fixed"/>
        <w:tblCellMar>
          <w:top w:w="0" w:type="dxa"/>
          <w:left w:w="0" w:type="dxa"/>
          <w:bottom w:w="0" w:type="dxa"/>
          <w:right w:w="0" w:type="dxa"/>
        </w:tblCellMar>
      </w:tblPr>
      <w:tblGrid>
        <w:gridCol w:w="1971"/>
        <w:gridCol w:w="2190"/>
        <w:gridCol w:w="2325"/>
        <w:gridCol w:w="2445"/>
      </w:tblGrid>
      <w:tr>
        <w:tblPrEx>
          <w:tblCellMar>
            <w:top w:w="0" w:type="dxa"/>
            <w:left w:w="0" w:type="dxa"/>
            <w:bottom w:w="0" w:type="dxa"/>
            <w:right w:w="0" w:type="dxa"/>
          </w:tblCellMar>
        </w:tblPrEx>
        <w:trPr>
          <w:trHeight w:val="340" w:hRule="atLeast"/>
        </w:trPr>
        <w:tc>
          <w:tcPr>
            <w:tcW w:w="1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ascii="宋体" w:hAnsi="宋体" w:eastAsia="宋体"/>
                <w:b/>
                <w:bCs/>
                <w:color w:val="000000"/>
                <w:sz w:val="18"/>
                <w:szCs w:val="18"/>
              </w:rPr>
            </w:pPr>
            <w:r>
              <w:rPr>
                <w:rFonts w:ascii="宋体" w:hAnsi="宋体" w:eastAsia="宋体"/>
                <w:b/>
                <w:bCs/>
                <w:color w:val="000000"/>
                <w:kern w:val="0"/>
                <w:sz w:val="18"/>
                <w:szCs w:val="18"/>
                <w:lang w:bidi="ar"/>
              </w:rPr>
              <w:t>一级指标</w:t>
            </w:r>
          </w:p>
        </w:tc>
        <w:tc>
          <w:tcPr>
            <w:tcW w:w="2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ascii="宋体" w:hAnsi="宋体" w:eastAsia="宋体"/>
                <w:b/>
                <w:bCs/>
                <w:color w:val="000000"/>
                <w:sz w:val="18"/>
                <w:szCs w:val="18"/>
              </w:rPr>
            </w:pPr>
            <w:r>
              <w:rPr>
                <w:rFonts w:ascii="宋体" w:hAnsi="宋体" w:eastAsia="宋体"/>
                <w:b/>
                <w:bCs/>
                <w:color w:val="000000"/>
                <w:kern w:val="0"/>
                <w:sz w:val="18"/>
                <w:szCs w:val="18"/>
                <w:lang w:bidi="ar"/>
              </w:rPr>
              <w:t>二级指标</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ascii="宋体" w:hAnsi="宋体" w:eastAsia="宋体"/>
                <w:b/>
                <w:bCs/>
                <w:color w:val="000000"/>
                <w:sz w:val="18"/>
                <w:szCs w:val="18"/>
              </w:rPr>
            </w:pPr>
            <w:r>
              <w:rPr>
                <w:rFonts w:ascii="宋体" w:hAnsi="宋体" w:eastAsia="宋体"/>
                <w:b/>
                <w:bCs/>
                <w:color w:val="000000"/>
                <w:kern w:val="0"/>
                <w:sz w:val="18"/>
                <w:szCs w:val="18"/>
                <w:lang w:bidi="ar"/>
              </w:rPr>
              <w:t>三级指标</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ascii="宋体" w:hAnsi="宋体" w:eastAsia="宋体"/>
                <w:b/>
                <w:bCs/>
                <w:color w:val="000000"/>
                <w:sz w:val="18"/>
                <w:szCs w:val="18"/>
              </w:rPr>
            </w:pPr>
            <w:r>
              <w:rPr>
                <w:rFonts w:ascii="宋体" w:hAnsi="宋体" w:eastAsia="宋体"/>
                <w:b/>
                <w:bCs/>
                <w:color w:val="000000"/>
                <w:kern w:val="0"/>
                <w:sz w:val="18"/>
                <w:szCs w:val="18"/>
                <w:lang w:bidi="ar"/>
              </w:rPr>
              <w:t>指标值</w:t>
            </w:r>
          </w:p>
        </w:tc>
      </w:tr>
      <w:tr>
        <w:tblPrEx>
          <w:tblCellMar>
            <w:top w:w="0" w:type="dxa"/>
            <w:left w:w="0" w:type="dxa"/>
            <w:bottom w:w="0" w:type="dxa"/>
            <w:right w:w="0" w:type="dxa"/>
          </w:tblCellMar>
        </w:tblPrEx>
        <w:trPr>
          <w:trHeight w:val="340" w:hRule="atLeast"/>
        </w:trPr>
        <w:tc>
          <w:tcPr>
            <w:tcW w:w="1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ascii="宋体" w:hAnsi="宋体" w:eastAsia="宋体"/>
                <w:b/>
                <w:bCs/>
                <w:color w:val="000000"/>
                <w:kern w:val="0"/>
                <w:sz w:val="18"/>
                <w:szCs w:val="18"/>
                <w:lang w:bidi="ar"/>
              </w:rPr>
            </w:pPr>
            <w:r>
              <w:rPr>
                <w:rFonts w:hint="eastAsia" w:ascii="宋体" w:hAnsi="宋体" w:eastAsia="宋体"/>
                <w:b/>
                <w:bCs/>
                <w:color w:val="000000"/>
                <w:kern w:val="0"/>
                <w:sz w:val="18"/>
                <w:szCs w:val="18"/>
                <w:lang w:eastAsia="zh-CN" w:bidi="ar"/>
              </w:rPr>
              <w:t>机械清扫率＞</w:t>
            </w:r>
            <w:r>
              <w:rPr>
                <w:rFonts w:hint="eastAsia" w:ascii="宋体" w:hAnsi="宋体" w:eastAsia="宋体"/>
                <w:b/>
                <w:bCs/>
                <w:color w:val="000000"/>
                <w:kern w:val="0"/>
                <w:sz w:val="18"/>
                <w:szCs w:val="18"/>
                <w:lang w:val="en-US" w:eastAsia="zh-CN" w:bidi="ar"/>
              </w:rPr>
              <w:t>80%、</w:t>
            </w:r>
            <w:r>
              <w:rPr>
                <w:rFonts w:hint="eastAsia" w:ascii="宋体" w:hAnsi="宋体" w:eastAsia="宋体"/>
                <w:b/>
                <w:bCs/>
                <w:color w:val="000000"/>
                <w:kern w:val="0"/>
                <w:sz w:val="18"/>
                <w:szCs w:val="18"/>
                <w:lang w:eastAsia="zh-CN" w:bidi="ar"/>
              </w:rPr>
              <w:t>生活垃圾处置率＞</w:t>
            </w:r>
            <w:r>
              <w:rPr>
                <w:rFonts w:hint="eastAsia" w:ascii="宋体" w:hAnsi="宋体" w:eastAsia="宋体"/>
                <w:b/>
                <w:bCs/>
                <w:color w:val="000000"/>
                <w:kern w:val="0"/>
                <w:sz w:val="18"/>
                <w:szCs w:val="18"/>
                <w:lang w:val="en-US" w:eastAsia="zh-CN" w:bidi="ar"/>
              </w:rPr>
              <w:t>100%</w:t>
            </w:r>
          </w:p>
        </w:tc>
        <w:tc>
          <w:tcPr>
            <w:tcW w:w="2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ascii="宋体" w:hAnsi="宋体" w:eastAsia="宋体"/>
                <w:b/>
                <w:bCs/>
                <w:color w:val="000000"/>
                <w:kern w:val="0"/>
                <w:sz w:val="18"/>
                <w:szCs w:val="18"/>
                <w:lang w:bidi="ar"/>
              </w:rPr>
            </w:pPr>
            <w:r>
              <w:rPr>
                <w:rFonts w:hint="eastAsia" w:ascii="宋体" w:hAnsi="宋体" w:eastAsia="宋体"/>
                <w:b/>
                <w:bCs/>
                <w:color w:val="000000"/>
                <w:kern w:val="0"/>
                <w:sz w:val="18"/>
                <w:szCs w:val="18"/>
                <w:lang w:eastAsia="zh-CN" w:bidi="ar"/>
              </w:rPr>
              <w:t>清扫面积覆盖率</w:t>
            </w:r>
            <w:r>
              <w:rPr>
                <w:rFonts w:hint="eastAsia" w:ascii="宋体" w:hAnsi="宋体" w:eastAsia="宋体"/>
                <w:b/>
                <w:bCs/>
                <w:color w:val="000000"/>
                <w:kern w:val="0"/>
                <w:sz w:val="18"/>
                <w:szCs w:val="18"/>
                <w:lang w:val="en-US" w:eastAsia="zh-CN" w:bidi="ar"/>
              </w:rPr>
              <w:t>100%、</w:t>
            </w:r>
            <w:r>
              <w:rPr>
                <w:rFonts w:hint="eastAsia" w:ascii="宋体" w:hAnsi="宋体" w:eastAsia="宋体"/>
                <w:b/>
                <w:bCs/>
                <w:color w:val="000000"/>
                <w:kern w:val="0"/>
                <w:sz w:val="18"/>
                <w:szCs w:val="18"/>
                <w:lang w:eastAsia="zh-CN" w:bidi="ar"/>
              </w:rPr>
              <w:t>无害化处置率＞</w:t>
            </w:r>
            <w:r>
              <w:rPr>
                <w:rFonts w:hint="eastAsia" w:ascii="宋体" w:hAnsi="宋体" w:eastAsia="宋体"/>
                <w:b/>
                <w:bCs/>
                <w:color w:val="000000"/>
                <w:kern w:val="0"/>
                <w:sz w:val="18"/>
                <w:szCs w:val="18"/>
                <w:lang w:val="en-US" w:eastAsia="zh-CN" w:bidi="ar"/>
              </w:rPr>
              <w:t>100%</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ascii="宋体" w:hAnsi="宋体" w:eastAsia="宋体"/>
                <w:b/>
                <w:bCs/>
                <w:color w:val="000000"/>
                <w:kern w:val="0"/>
                <w:sz w:val="18"/>
                <w:szCs w:val="18"/>
                <w:lang w:bidi="ar"/>
              </w:rPr>
            </w:pPr>
            <w:r>
              <w:rPr>
                <w:rFonts w:hint="eastAsia" w:ascii="宋体" w:hAnsi="宋体" w:eastAsia="宋体"/>
                <w:b/>
                <w:bCs/>
                <w:color w:val="000000"/>
                <w:kern w:val="0"/>
                <w:sz w:val="18"/>
                <w:szCs w:val="18"/>
                <w:lang w:eastAsia="zh-CN" w:bidi="ar"/>
              </w:rPr>
              <w:t>清扫效果＞</w:t>
            </w:r>
            <w:r>
              <w:rPr>
                <w:rFonts w:hint="eastAsia" w:ascii="宋体" w:hAnsi="宋体" w:eastAsia="宋体"/>
                <w:b/>
                <w:bCs/>
                <w:color w:val="000000"/>
                <w:kern w:val="0"/>
                <w:sz w:val="18"/>
                <w:szCs w:val="18"/>
                <w:lang w:val="en-US" w:eastAsia="zh-CN" w:bidi="ar"/>
              </w:rPr>
              <w:t>90%、提升辖区城市管理水平</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ascii="宋体" w:hAnsi="宋体" w:eastAsia="宋体"/>
                <w:b/>
                <w:bCs/>
                <w:color w:val="000000"/>
                <w:kern w:val="0"/>
                <w:sz w:val="18"/>
                <w:szCs w:val="18"/>
                <w:lang w:bidi="ar"/>
              </w:rPr>
            </w:pPr>
            <w:r>
              <w:rPr>
                <w:rFonts w:hint="eastAsia" w:ascii="宋体" w:hAnsi="宋体" w:eastAsia="宋体"/>
                <w:b/>
                <w:bCs/>
                <w:color w:val="000000"/>
                <w:kern w:val="0"/>
                <w:sz w:val="18"/>
                <w:szCs w:val="18"/>
                <w:lang w:val="en-US" w:eastAsia="zh-CN" w:bidi="ar"/>
              </w:rPr>
              <w:t>完成市城管局年度考核</w:t>
            </w:r>
          </w:p>
        </w:tc>
      </w:tr>
    </w:tbl>
    <w:p>
      <w:pPr>
        <w:snapToGrid w:val="0"/>
        <w:spacing w:line="600" w:lineRule="atLeas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（四）实施可行性</w:t>
      </w:r>
    </w:p>
    <w:p>
      <w:pPr>
        <w:snapToGrid w:val="0"/>
        <w:spacing w:line="600" w:lineRule="atLeas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主要绩效目标。改善钒钛高新区环境卫生，提高环卫作业的机械化水平，逐步实行“管干分离”，促进环卫事业发展。道路清扫保洁项目资金的使用，基本达到了既定目标，环境社会效益显著提升。通过建立道路清扫保洁作业模式体系，基本实现了从人工为主向机扫和人工有机结合转变，从路面单一平面保洁向全方位立体保洁模式转变，从被动保洁向源头治理转变。同时，全面推广了“人机结合”的高效保洁和“一把扫帚”扫到底的无缝隙保洁模式，切实推动了道路保洁质量的整体提升。</w:t>
      </w:r>
    </w:p>
    <w:p>
      <w:pPr>
        <w:snapToGrid w:val="0"/>
        <w:spacing w:line="600" w:lineRule="atLeas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（五）筹资合规性</w:t>
      </w:r>
    </w:p>
    <w:p>
      <w:pPr>
        <w:snapToGrid w:val="0"/>
        <w:spacing w:line="600" w:lineRule="atLeas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政策或项目具有公共性，属于公共财政支持范围，筹资渠道符合法律法规规定，筹资结构合理，资金来源渠道明确，各渠道资金到位时间、条件能够落实。</w:t>
      </w:r>
    </w:p>
    <w:p>
      <w:pPr>
        <w:snapToGrid w:val="0"/>
        <w:spacing w:line="600" w:lineRule="atLeas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六、评估结论</w:t>
      </w:r>
    </w:p>
    <w:p>
      <w:pPr>
        <w:snapToGrid w:val="0"/>
        <w:spacing w:line="600" w:lineRule="atLeast"/>
        <w:ind w:firstLine="640" w:firstLineChars="200"/>
        <w:rPr>
          <w:rFonts w:hint="eastAsia" w:ascii="Times New Roman" w:hAnsi="Times New Roman" w:eastAsia="仿宋_GB2312"/>
          <w:sz w:val="32"/>
          <w:szCs w:val="32"/>
          <w:u w:val="single"/>
          <w:lang w:eastAsia="zh-CN"/>
        </w:rPr>
      </w:pPr>
      <w:r>
        <w:rPr>
          <w:rFonts w:hint="eastAsia" w:ascii="仿宋_GB2312" w:hAnsi="仿宋_GB2312" w:eastAsia="仿宋_GB2312" w:cs="仿宋_GB2312"/>
          <w:color w:val="auto"/>
          <w:kern w:val="2"/>
          <w:sz w:val="32"/>
          <w:szCs w:val="24"/>
          <w:lang w:val="en-US" w:eastAsia="zh-CN" w:bidi="ar-SA"/>
        </w:rPr>
        <w:t>综合前述评估内容来看，该项目立项必要性和依据是充分，绩效目标是明确，是具备实施条件，是具有公共性，是否符合财政资金支持方向等。建议予以支持，预算控制在    万元以内。该项目申请资金总预算 1000万元，经评审，建议预算申报数 1000万元,合计评减 0万元，评减率0%。我单位将进一步优化完善实施方案和绩效目标，加强运行监控，节约财政资金并提升资金效益，提升预算绩效管理水平。</w:t>
      </w:r>
    </w:p>
    <w:p>
      <w:pPr>
        <w:pStyle w:val="37"/>
        <w:snapToGrid w:val="0"/>
        <w:spacing w:line="600" w:lineRule="exact"/>
        <w:ind w:left="709" w:firstLine="0" w:firstLineChars="0"/>
        <w:rPr>
          <w:rFonts w:hint="eastAsia" w:ascii="仿宋_GB2312" w:hAnsi="仿宋_GB2312" w:eastAsia="仿宋_GB2312" w:cs="仿宋_GB2312"/>
          <w:color w:val="auto"/>
          <w:kern w:val="2"/>
          <w:sz w:val="32"/>
          <w:szCs w:val="24"/>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ascii="Times New Roman" w:hAnsi="Times New Roman" w:eastAsia="仿宋_GB2312" w:cs="仿宋_GB2312"/>
          <w:b w:val="0"/>
          <w:bCs w:val="0"/>
          <w:kern w:val="0"/>
          <w:position w:val="0"/>
          <w:sz w:val="32"/>
          <w:szCs w:val="32"/>
          <w:highlight w:val="none"/>
          <w:lang w:val="en-US" w:eastAsia="zh-CN" w:bidi="ar-SA"/>
        </w:rPr>
      </w:pPr>
    </w:p>
    <w:p>
      <w:pPr>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pStyle w:val="3"/>
        <w:rPr>
          <w:rFonts w:hint="eastAsia"/>
          <w:lang w:val="en-US" w:eastAsia="zh-CN"/>
        </w:rPr>
      </w:pPr>
    </w:p>
    <w:p>
      <w:pPr>
        <w:pStyle w:val="2"/>
        <w:spacing w:line="600" w:lineRule="exact"/>
        <w:jc w:val="center"/>
        <w:rPr>
          <w:rFonts w:ascii="Times New Roman" w:hAnsi="Times New Roman" w:eastAsia="方正小标宋简体"/>
          <w:bCs/>
          <w:sz w:val="36"/>
          <w:szCs w:val="36"/>
        </w:rPr>
      </w:pPr>
      <w:r>
        <w:rPr>
          <w:rFonts w:ascii="Times New Roman" w:hAnsi="Times New Roman" w:eastAsia="方正小标宋简体"/>
          <w:bCs/>
          <w:sz w:val="36"/>
          <w:szCs w:val="36"/>
        </w:rPr>
        <w:t>攀枝</w:t>
      </w:r>
      <w:r>
        <w:rPr>
          <w:rFonts w:ascii="Times New Roman" w:hAnsi="Times New Roman" w:eastAsia="方正小标宋简体"/>
          <w:bCs/>
          <w:sz w:val="36"/>
          <w:szCs w:val="36"/>
          <w:u w:val="none"/>
        </w:rPr>
        <w:t>花</w:t>
      </w:r>
      <w:r>
        <w:rPr>
          <w:rFonts w:hint="eastAsia" w:ascii="Times New Roman" w:hAnsi="Times New Roman" w:eastAsia="方正小标宋简体"/>
          <w:bCs/>
          <w:sz w:val="36"/>
          <w:szCs w:val="36"/>
          <w:u w:val="none"/>
          <w:lang w:eastAsia="zh-CN"/>
        </w:rPr>
        <w:t>钛高新区环保设施运维</w:t>
      </w:r>
      <w:r>
        <w:rPr>
          <w:rFonts w:ascii="Times New Roman" w:hAnsi="Times New Roman" w:eastAsia="方正小标宋简体"/>
          <w:bCs/>
          <w:sz w:val="36"/>
          <w:szCs w:val="36"/>
          <w:u w:val="none"/>
        </w:rPr>
        <w:t>项目事前绩效评估报告</w:t>
      </w:r>
    </w:p>
    <w:p>
      <w:pPr>
        <w:snapToGrid w:val="0"/>
        <w:spacing w:line="600" w:lineRule="exact"/>
        <w:jc w:val="center"/>
        <w:rPr>
          <w:rFonts w:ascii="Times New Roman" w:hAnsi="Times New Roman" w:eastAsia="宋体"/>
          <w:b/>
          <w:bCs/>
          <w:sz w:val="44"/>
          <w:szCs w:val="44"/>
        </w:rPr>
      </w:pPr>
    </w:p>
    <w:p>
      <w:pPr>
        <w:pStyle w:val="37"/>
        <w:snapToGrid w:val="0"/>
        <w:spacing w:line="600" w:lineRule="exact"/>
        <w:ind w:left="709" w:firstLine="0" w:firstLineChars="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一、项目基本情况</w:t>
      </w:r>
    </w:p>
    <w:p>
      <w:pPr>
        <w:snapToGrid w:val="0"/>
        <w:spacing w:line="600" w:lineRule="exac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 xml:space="preserve">（一）项目名称： 环保设施运维项目             </w:t>
      </w:r>
    </w:p>
    <w:p>
      <w:pPr>
        <w:snapToGrid w:val="0"/>
        <w:spacing w:line="600" w:lineRule="exac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 xml:space="preserve">（二）项目单位： 生态环境和综合行政执法局                         </w:t>
      </w:r>
    </w:p>
    <w:p>
      <w:pPr>
        <w:snapToGrid w:val="0"/>
        <w:spacing w:line="600" w:lineRule="exac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 xml:space="preserve">（三）主管部门：  钒钛高新区管理委员会                        </w:t>
      </w:r>
    </w:p>
    <w:p>
      <w:pPr>
        <w:snapToGrid w:val="0"/>
        <w:spacing w:line="600" w:lineRule="exac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（四）项目属性：延续性项目</w:t>
      </w:r>
    </w:p>
    <w:p>
      <w:pPr>
        <w:snapToGrid w:val="0"/>
        <w:spacing w:line="600" w:lineRule="exac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（五）项目起止年限：2023年—2024年</w:t>
      </w:r>
    </w:p>
    <w:p>
      <w:pPr>
        <w:snapToGrid w:val="0"/>
        <w:spacing w:line="600" w:lineRule="exac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（六）资金申请情况：申报项目预算金额为 30.32万元（资金来源为财政资金或自有资金，其中财政资金30.32 万元，自有资金  /  万元）</w:t>
      </w:r>
    </w:p>
    <w:p>
      <w:pPr>
        <w:snapToGrid w:val="0"/>
        <w:spacing w:line="600" w:lineRule="exac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（七）项目概况：</w:t>
      </w:r>
    </w:p>
    <w:p>
      <w:pPr>
        <w:snapToGrid w:val="0"/>
        <w:spacing w:line="600" w:lineRule="exact"/>
        <w:ind w:firstLine="640" w:firstLineChars="200"/>
        <w:jc w:val="left"/>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本项目的主要内容是对园区颗粒物及117种光化学组分自动监测监控系统及水气土协同预警平台等环保设施进行运维管理。2021年预算安排 0万元，实际执行 0 万元；2022年预算安排 0万元，实际执行 0 万元；2023年预算安排 0 万元，实际执行 0 万元；2024年拟申请资金预算 196 万元，较上年增长196 万元，较上年增长100 %，增加的主要原因为 按照化工园区整改要求，由花投公司委托建设了园区颗粒物及117种光化学组分自动监测监控系统及水气土协同预警平台，后续由管委会进行租赁使用，需购买服务，进行设备运维、数据处理等事项。</w:t>
      </w:r>
    </w:p>
    <w:p>
      <w:pPr>
        <w:snapToGrid w:val="0"/>
        <w:spacing w:line="600" w:lineRule="exac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二、评估原则</w:t>
      </w:r>
    </w:p>
    <w:p>
      <w:pPr>
        <w:snapToGrid w:val="0"/>
        <w:spacing w:line="600" w:lineRule="exac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根据2024年预算编制要求，绩效评估本着真正过紧日子的原则，厉行节约、精打细算，从严从紧控制项目申报和预算安排，非必要项目和工作内容可压尽压、应压尽压，做到客观、绩效、精准。</w:t>
      </w:r>
    </w:p>
    <w:p>
      <w:pPr>
        <w:snapToGrid w:val="0"/>
        <w:spacing w:line="600" w:lineRule="exac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三、评估目的</w:t>
      </w:r>
    </w:p>
    <w:p>
      <w:pPr>
        <w:snapToGrid w:val="0"/>
        <w:spacing w:line="600" w:lineRule="exact"/>
        <w:ind w:firstLine="709"/>
        <w:jc w:val="left"/>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pPr>
        <w:pStyle w:val="37"/>
        <w:snapToGrid w:val="0"/>
        <w:spacing w:line="600" w:lineRule="exact"/>
        <w:ind w:left="709" w:firstLine="0" w:firstLineChars="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四、评估程序和方法</w:t>
      </w:r>
    </w:p>
    <w:p>
      <w:pPr>
        <w:snapToGrid w:val="0"/>
        <w:spacing w:line="600" w:lineRule="exact"/>
        <w:ind w:firstLine="640" w:firstLineChars="200"/>
        <w:jc w:val="left"/>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（一）评估程序</w:t>
      </w:r>
    </w:p>
    <w:p>
      <w:pPr>
        <w:snapToGrid w:val="0"/>
        <w:spacing w:line="600" w:lineRule="exac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2024年度预算项目绩效评估工作通过线上与线下相结合方式开展。按照有关规定和工作安排，我单位开展自行评估，通过自行成立/委托下级单位成立/委托第三方机构等方式组建评估组，通过收集被评估项目相关基础资料，并查阅资料、收集数据信息等，深入论证分析后，形成绩效评估报告。</w:t>
      </w:r>
    </w:p>
    <w:p>
      <w:pPr>
        <w:snapToGrid w:val="0"/>
        <w:spacing w:line="600" w:lineRule="exact"/>
        <w:ind w:firstLine="640" w:firstLineChars="200"/>
        <w:jc w:val="left"/>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（二）评估方法</w:t>
      </w:r>
    </w:p>
    <w:p>
      <w:pPr>
        <w:snapToGrid w:val="0"/>
        <w:spacing w:line="600" w:lineRule="exac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pPr>
        <w:snapToGrid w:val="0"/>
        <w:spacing w:line="600" w:lineRule="exact"/>
        <w:ind w:left="709"/>
        <w:jc w:val="left"/>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五、评估内容</w:t>
      </w:r>
    </w:p>
    <w:p>
      <w:pPr>
        <w:snapToGrid w:val="0"/>
        <w:spacing w:line="600" w:lineRule="exact"/>
        <w:ind w:left="709"/>
        <w:jc w:val="left"/>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（一）立项必要性</w:t>
      </w:r>
    </w:p>
    <w:p>
      <w:pPr>
        <w:spacing w:line="600" w:lineRule="exact"/>
        <w:ind w:firstLine="645"/>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按照管委会2022年第6次主任会议纪要要求，将园区颗粒物及117种光化学组分自动监测监控系统及水气土协同预警平台等事项交由花投公司进行建设，管委会按照节约、高效原则购买服务。</w:t>
      </w:r>
    </w:p>
    <w:p>
      <w:pPr>
        <w:snapToGrid w:val="0"/>
        <w:spacing w:line="600" w:lineRule="atLeast"/>
        <w:ind w:firstLine="627" w:firstLineChars="196"/>
        <w:jc w:val="left"/>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（二）投入经济性</w:t>
      </w:r>
    </w:p>
    <w:p>
      <w:pPr>
        <w:snapToGrid w:val="0"/>
        <w:spacing w:line="600" w:lineRule="atLeas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该项目申报预算30.32万元，本次申报金额为 30.32万元，资金来源为自有资金。本项目通过购买服务方式租赁园区颗粒物及117种光化学组分自动监测监控系统及水气土协同预警平台进行使用，加强日常环保管理。本次对项目投入经济性的评估是在项目事前绩效评估、预算测算的基础上，按照厉行节约的要求，通过三方单位合价最终确定金额。结合项目2023年开支情况结合2024年实际需求、相关费用标准及市场价格水平，重点对数量是否合理、投入是否经济、预算测算是否准确、测算过程是否详细、测算依据是否充分等方面进行了评估。评估认为，该项目任务数量基本合理、预算测算过程较为详细、测算依据基本充分、有一定的经济性。建议预算控制在 196万元以内，与申报数相比，评减  0  万元，评减率  0  %（详见下表）。</w:t>
      </w:r>
    </w:p>
    <w:p>
      <w:pPr>
        <w:snapToGrid w:val="0"/>
        <w:spacing w:line="600" w:lineRule="atLeast"/>
        <w:ind w:firstLine="421" w:firstLineChars="200"/>
        <w:jc w:val="center"/>
        <w:rPr>
          <w:rFonts w:ascii="宋体" w:hAnsi="宋体" w:eastAsia="宋体"/>
          <w:b/>
          <w:sz w:val="21"/>
          <w:szCs w:val="21"/>
        </w:rPr>
      </w:pPr>
      <w:r>
        <w:rPr>
          <w:rFonts w:hint="eastAsia" w:ascii="宋体" w:hAnsi="宋体" w:eastAsia="宋体"/>
          <w:b/>
          <w:sz w:val="21"/>
          <w:szCs w:val="21"/>
        </w:rPr>
        <w:t>项目事前绩效评估汇</w:t>
      </w:r>
      <w:r>
        <w:rPr>
          <w:rFonts w:ascii="宋体" w:hAnsi="宋体" w:eastAsia="宋体"/>
          <w:b/>
          <w:sz w:val="21"/>
          <w:szCs w:val="21"/>
        </w:rPr>
        <w:t>总表</w:t>
      </w:r>
    </w:p>
    <w:tbl>
      <w:tblPr>
        <w:tblStyle w:val="17"/>
        <w:tblW w:w="9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2667"/>
        <w:gridCol w:w="954"/>
        <w:gridCol w:w="954"/>
        <w:gridCol w:w="1004"/>
        <w:gridCol w:w="954"/>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7" w:type="dxa"/>
            <w:noWrap w:val="0"/>
            <w:vAlign w:val="center"/>
          </w:tcPr>
          <w:p>
            <w:pPr>
              <w:widowControl/>
              <w:snapToGrid w:val="0"/>
              <w:spacing w:line="320" w:lineRule="atLeast"/>
              <w:jc w:val="center"/>
              <w:rPr>
                <w:rFonts w:ascii="宋体" w:hAnsi="宋体" w:eastAsia="宋体"/>
                <w:kern w:val="0"/>
                <w:sz w:val="18"/>
                <w:szCs w:val="18"/>
              </w:rPr>
            </w:pPr>
            <w:r>
              <w:rPr>
                <w:rFonts w:ascii="宋体" w:hAnsi="宋体" w:eastAsia="宋体"/>
                <w:kern w:val="0"/>
                <w:sz w:val="18"/>
                <w:szCs w:val="18"/>
              </w:rPr>
              <w:t>序号</w:t>
            </w:r>
          </w:p>
        </w:tc>
        <w:tc>
          <w:tcPr>
            <w:tcW w:w="2667" w:type="dxa"/>
            <w:noWrap w:val="0"/>
            <w:vAlign w:val="center"/>
          </w:tcPr>
          <w:p>
            <w:pPr>
              <w:widowControl/>
              <w:snapToGrid w:val="0"/>
              <w:spacing w:line="320" w:lineRule="atLeast"/>
              <w:jc w:val="center"/>
              <w:rPr>
                <w:rFonts w:ascii="宋体" w:hAnsi="宋体" w:eastAsia="宋体"/>
                <w:kern w:val="0"/>
                <w:sz w:val="18"/>
                <w:szCs w:val="18"/>
              </w:rPr>
            </w:pPr>
            <w:r>
              <w:rPr>
                <w:rFonts w:ascii="宋体" w:hAnsi="宋体" w:eastAsia="宋体"/>
                <w:kern w:val="0"/>
                <w:sz w:val="18"/>
                <w:szCs w:val="18"/>
              </w:rPr>
              <w:t>项目内容</w:t>
            </w:r>
          </w:p>
        </w:tc>
        <w:tc>
          <w:tcPr>
            <w:tcW w:w="954" w:type="dxa"/>
            <w:noWrap w:val="0"/>
            <w:vAlign w:val="center"/>
          </w:tcPr>
          <w:p>
            <w:pPr>
              <w:widowControl/>
              <w:snapToGrid w:val="0"/>
              <w:spacing w:line="320" w:lineRule="atLeast"/>
              <w:jc w:val="center"/>
              <w:rPr>
                <w:rFonts w:ascii="宋体" w:hAnsi="宋体" w:eastAsia="宋体"/>
                <w:kern w:val="0"/>
                <w:sz w:val="18"/>
                <w:szCs w:val="18"/>
              </w:rPr>
            </w:pPr>
            <w:r>
              <w:rPr>
                <w:rFonts w:ascii="宋体" w:hAnsi="宋体" w:eastAsia="宋体"/>
                <w:kern w:val="0"/>
                <w:sz w:val="18"/>
                <w:szCs w:val="18"/>
              </w:rPr>
              <w:t>申报</w:t>
            </w:r>
          </w:p>
          <w:p>
            <w:pPr>
              <w:widowControl/>
              <w:snapToGrid w:val="0"/>
              <w:spacing w:line="320" w:lineRule="atLeast"/>
              <w:jc w:val="center"/>
              <w:rPr>
                <w:rFonts w:ascii="宋体" w:hAnsi="宋体" w:eastAsia="宋体"/>
                <w:kern w:val="0"/>
                <w:sz w:val="18"/>
                <w:szCs w:val="18"/>
              </w:rPr>
            </w:pPr>
            <w:r>
              <w:rPr>
                <w:rFonts w:ascii="宋体" w:hAnsi="宋体" w:eastAsia="宋体"/>
                <w:kern w:val="0"/>
                <w:sz w:val="18"/>
                <w:szCs w:val="18"/>
              </w:rPr>
              <w:t>预算</w:t>
            </w:r>
          </w:p>
        </w:tc>
        <w:tc>
          <w:tcPr>
            <w:tcW w:w="954" w:type="dxa"/>
            <w:noWrap w:val="0"/>
            <w:vAlign w:val="center"/>
          </w:tcPr>
          <w:p>
            <w:pPr>
              <w:widowControl/>
              <w:snapToGrid w:val="0"/>
              <w:spacing w:line="320" w:lineRule="atLeast"/>
              <w:jc w:val="center"/>
              <w:rPr>
                <w:rFonts w:ascii="宋体" w:hAnsi="宋体" w:eastAsia="宋体"/>
                <w:kern w:val="0"/>
                <w:sz w:val="18"/>
                <w:szCs w:val="18"/>
              </w:rPr>
            </w:pPr>
            <w:r>
              <w:rPr>
                <w:rFonts w:ascii="宋体" w:hAnsi="宋体" w:eastAsia="宋体"/>
                <w:kern w:val="0"/>
                <w:sz w:val="18"/>
                <w:szCs w:val="18"/>
              </w:rPr>
              <w:t>送审</w:t>
            </w:r>
          </w:p>
          <w:p>
            <w:pPr>
              <w:widowControl/>
              <w:snapToGrid w:val="0"/>
              <w:spacing w:line="320" w:lineRule="atLeast"/>
              <w:jc w:val="center"/>
              <w:rPr>
                <w:rFonts w:ascii="宋体" w:hAnsi="宋体" w:eastAsia="宋体"/>
                <w:kern w:val="0"/>
                <w:sz w:val="18"/>
                <w:szCs w:val="18"/>
              </w:rPr>
            </w:pPr>
            <w:r>
              <w:rPr>
                <w:rFonts w:ascii="宋体" w:hAnsi="宋体" w:eastAsia="宋体"/>
                <w:kern w:val="0"/>
                <w:sz w:val="18"/>
                <w:szCs w:val="18"/>
              </w:rPr>
              <w:t>金额</w:t>
            </w:r>
          </w:p>
        </w:tc>
        <w:tc>
          <w:tcPr>
            <w:tcW w:w="1004" w:type="dxa"/>
            <w:noWrap w:val="0"/>
            <w:vAlign w:val="center"/>
          </w:tcPr>
          <w:p>
            <w:pPr>
              <w:widowControl/>
              <w:snapToGrid w:val="0"/>
              <w:spacing w:line="320" w:lineRule="atLeast"/>
              <w:jc w:val="center"/>
              <w:rPr>
                <w:rFonts w:ascii="宋体" w:hAnsi="宋体" w:eastAsia="宋体"/>
                <w:kern w:val="0"/>
                <w:sz w:val="18"/>
                <w:szCs w:val="18"/>
              </w:rPr>
            </w:pPr>
            <w:r>
              <w:rPr>
                <w:rFonts w:ascii="宋体" w:hAnsi="宋体" w:eastAsia="宋体"/>
                <w:kern w:val="0"/>
                <w:sz w:val="18"/>
                <w:szCs w:val="18"/>
              </w:rPr>
              <w:t>建议控制额</w:t>
            </w:r>
          </w:p>
        </w:tc>
        <w:tc>
          <w:tcPr>
            <w:tcW w:w="954" w:type="dxa"/>
            <w:noWrap w:val="0"/>
            <w:vAlign w:val="center"/>
          </w:tcPr>
          <w:p>
            <w:pPr>
              <w:widowControl/>
              <w:snapToGrid w:val="0"/>
              <w:spacing w:line="320" w:lineRule="atLeast"/>
              <w:jc w:val="center"/>
              <w:rPr>
                <w:rFonts w:ascii="宋体" w:hAnsi="宋体" w:eastAsia="宋体"/>
                <w:kern w:val="0"/>
                <w:sz w:val="18"/>
                <w:szCs w:val="18"/>
              </w:rPr>
            </w:pPr>
            <w:r>
              <w:rPr>
                <w:rFonts w:ascii="宋体" w:hAnsi="宋体" w:eastAsia="宋体"/>
                <w:kern w:val="0"/>
                <w:sz w:val="18"/>
                <w:szCs w:val="18"/>
              </w:rPr>
              <w:t>核减</w:t>
            </w:r>
          </w:p>
        </w:tc>
        <w:tc>
          <w:tcPr>
            <w:tcW w:w="2160" w:type="dxa"/>
            <w:vMerge w:val="restart"/>
            <w:noWrap w:val="0"/>
            <w:vAlign w:val="center"/>
          </w:tcPr>
          <w:p>
            <w:pPr>
              <w:widowControl/>
              <w:snapToGrid w:val="0"/>
              <w:spacing w:line="320" w:lineRule="atLeast"/>
              <w:jc w:val="center"/>
              <w:rPr>
                <w:rFonts w:ascii="宋体" w:hAnsi="宋体" w:eastAsia="宋体"/>
                <w:color w:val="000000"/>
                <w:kern w:val="0"/>
                <w:sz w:val="18"/>
                <w:szCs w:val="18"/>
              </w:rPr>
            </w:pPr>
            <w:r>
              <w:rPr>
                <w:rFonts w:ascii="宋体" w:hAnsi="宋体" w:eastAsia="宋体"/>
                <w:color w:val="000000"/>
                <w:kern w:val="0"/>
                <w:sz w:val="18"/>
                <w:szCs w:val="18"/>
              </w:rPr>
              <w:t>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7" w:type="dxa"/>
            <w:noWrap w:val="0"/>
            <w:vAlign w:val="center"/>
          </w:tcPr>
          <w:p>
            <w:pPr>
              <w:widowControl/>
              <w:snapToGrid w:val="0"/>
              <w:spacing w:line="320" w:lineRule="atLeast"/>
              <w:jc w:val="center"/>
              <w:rPr>
                <w:rFonts w:ascii="宋体" w:hAnsi="宋体" w:eastAsia="宋体"/>
                <w:kern w:val="0"/>
                <w:sz w:val="18"/>
                <w:szCs w:val="18"/>
              </w:rPr>
            </w:pPr>
            <w:r>
              <w:rPr>
                <w:rFonts w:ascii="宋体" w:hAnsi="宋体" w:eastAsia="宋体"/>
                <w:kern w:val="0"/>
                <w:sz w:val="18"/>
                <w:szCs w:val="18"/>
              </w:rPr>
              <w:t>　</w:t>
            </w:r>
          </w:p>
        </w:tc>
        <w:tc>
          <w:tcPr>
            <w:tcW w:w="2667" w:type="dxa"/>
            <w:noWrap w:val="0"/>
            <w:vAlign w:val="center"/>
          </w:tcPr>
          <w:p>
            <w:pPr>
              <w:widowControl/>
              <w:snapToGrid w:val="0"/>
              <w:spacing w:line="320" w:lineRule="atLeast"/>
              <w:jc w:val="center"/>
              <w:rPr>
                <w:rFonts w:ascii="宋体" w:hAnsi="宋体" w:eastAsia="宋体"/>
                <w:kern w:val="0"/>
                <w:sz w:val="18"/>
                <w:szCs w:val="18"/>
              </w:rPr>
            </w:pPr>
            <w:r>
              <w:rPr>
                <w:rFonts w:ascii="宋体" w:hAnsi="宋体" w:eastAsia="宋体"/>
                <w:kern w:val="0"/>
                <w:sz w:val="18"/>
                <w:szCs w:val="18"/>
              </w:rPr>
              <w:t>合计（万元）</w:t>
            </w:r>
          </w:p>
        </w:tc>
        <w:tc>
          <w:tcPr>
            <w:tcW w:w="954"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30.32</w:t>
            </w:r>
          </w:p>
        </w:tc>
        <w:tc>
          <w:tcPr>
            <w:tcW w:w="954"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30.32</w:t>
            </w:r>
          </w:p>
        </w:tc>
        <w:tc>
          <w:tcPr>
            <w:tcW w:w="1004"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30.32</w:t>
            </w:r>
          </w:p>
        </w:tc>
        <w:tc>
          <w:tcPr>
            <w:tcW w:w="954" w:type="dxa"/>
            <w:noWrap w:val="0"/>
            <w:vAlign w:val="center"/>
          </w:tcPr>
          <w:p>
            <w:pPr>
              <w:widowControl/>
              <w:snapToGrid w:val="0"/>
              <w:spacing w:line="320" w:lineRule="atLeas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0</w:t>
            </w:r>
          </w:p>
        </w:tc>
        <w:tc>
          <w:tcPr>
            <w:tcW w:w="2160" w:type="dxa"/>
            <w:vMerge w:val="continue"/>
            <w:noWrap w:val="0"/>
            <w:vAlign w:val="center"/>
          </w:tcPr>
          <w:p>
            <w:pPr>
              <w:widowControl/>
              <w:snapToGrid w:val="0"/>
              <w:spacing w:line="320" w:lineRule="atLeast"/>
              <w:jc w:val="left"/>
              <w:rPr>
                <w:rFonts w:ascii="宋体" w:hAnsi="宋体" w:eastAsia="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7" w:type="dxa"/>
            <w:noWrap w:val="0"/>
            <w:vAlign w:val="center"/>
          </w:tcPr>
          <w:p>
            <w:pPr>
              <w:widowControl/>
              <w:snapToGrid w:val="0"/>
              <w:spacing w:line="320" w:lineRule="atLeast"/>
              <w:jc w:val="center"/>
              <w:rPr>
                <w:rFonts w:ascii="宋体" w:hAnsi="宋体" w:eastAsia="宋体"/>
                <w:kern w:val="0"/>
                <w:sz w:val="18"/>
                <w:szCs w:val="18"/>
              </w:rPr>
            </w:pPr>
          </w:p>
        </w:tc>
        <w:tc>
          <w:tcPr>
            <w:tcW w:w="2667" w:type="dxa"/>
            <w:noWrap w:val="0"/>
            <w:vAlign w:val="center"/>
          </w:tcPr>
          <w:p>
            <w:pPr>
              <w:widowControl/>
              <w:snapToGrid w:val="0"/>
              <w:spacing w:line="320" w:lineRule="atLeast"/>
              <w:jc w:val="center"/>
              <w:rPr>
                <w:rFonts w:hint="eastAsia" w:ascii="宋体" w:hAnsi="宋体" w:eastAsia="宋体"/>
                <w:kern w:val="0"/>
                <w:sz w:val="18"/>
                <w:szCs w:val="18"/>
                <w:lang w:eastAsia="zh-CN"/>
              </w:rPr>
            </w:pPr>
            <w:r>
              <w:rPr>
                <w:rFonts w:hint="eastAsia" w:ascii="宋体" w:hAnsi="宋体" w:eastAsia="宋体"/>
                <w:kern w:val="0"/>
                <w:sz w:val="18"/>
                <w:szCs w:val="18"/>
                <w:lang w:eastAsia="zh-CN"/>
              </w:rPr>
              <w:t>环保设备运维费用（园区颗粒物及117种光化学组分自动监测监控系统及水气土协同预警平台）</w:t>
            </w:r>
          </w:p>
        </w:tc>
        <w:tc>
          <w:tcPr>
            <w:tcW w:w="954"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30.32</w:t>
            </w:r>
          </w:p>
        </w:tc>
        <w:tc>
          <w:tcPr>
            <w:tcW w:w="954"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30.32</w:t>
            </w:r>
          </w:p>
        </w:tc>
        <w:tc>
          <w:tcPr>
            <w:tcW w:w="1004" w:type="dxa"/>
            <w:noWrap w:val="0"/>
            <w:vAlign w:val="center"/>
          </w:tcPr>
          <w:p>
            <w:pPr>
              <w:widowControl/>
              <w:snapToGrid w:val="0"/>
              <w:spacing w:line="320" w:lineRule="atLeas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30.32</w:t>
            </w:r>
          </w:p>
        </w:tc>
        <w:tc>
          <w:tcPr>
            <w:tcW w:w="954" w:type="dxa"/>
            <w:noWrap w:val="0"/>
            <w:vAlign w:val="center"/>
          </w:tcPr>
          <w:p>
            <w:pPr>
              <w:widowControl/>
              <w:snapToGrid w:val="0"/>
              <w:spacing w:line="320" w:lineRule="atLeas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0</w:t>
            </w:r>
          </w:p>
        </w:tc>
        <w:tc>
          <w:tcPr>
            <w:tcW w:w="2160" w:type="dxa"/>
            <w:noWrap w:val="0"/>
            <w:vAlign w:val="center"/>
          </w:tcPr>
          <w:p>
            <w:pPr>
              <w:widowControl/>
              <w:snapToGrid w:val="0"/>
              <w:spacing w:line="320" w:lineRule="atLeast"/>
              <w:jc w:val="left"/>
              <w:rPr>
                <w:rFonts w:ascii="宋体" w:hAnsi="宋体" w:eastAsia="宋体"/>
                <w:color w:val="000000"/>
                <w:kern w:val="0"/>
                <w:sz w:val="18"/>
                <w:szCs w:val="18"/>
              </w:rPr>
            </w:pPr>
          </w:p>
        </w:tc>
      </w:tr>
    </w:tbl>
    <w:p>
      <w:pPr>
        <w:snapToGrid w:val="0"/>
        <w:spacing w:line="600" w:lineRule="atLeast"/>
        <w:rPr>
          <w:rFonts w:ascii="Times New Roman" w:hAnsi="Times New Roman"/>
          <w:szCs w:val="32"/>
        </w:rPr>
      </w:pPr>
    </w:p>
    <w:p>
      <w:pPr>
        <w:snapToGrid w:val="0"/>
        <w:spacing w:line="600" w:lineRule="atLeas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（三）目标合理性</w:t>
      </w:r>
    </w:p>
    <w:p>
      <w:pPr>
        <w:snapToGrid w:val="0"/>
        <w:spacing w:line="600" w:lineRule="atLeas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本次绩效评价指标采用共性指标与个性指标相结合的方式，使用投入、项目管理、产出与效益3个一级指标，资金落实、财务管理、目标设定情况等9个二级指标，资金到位率、管理制度健全性、保洁质量考核制度与执行情况、道路保洁项目招投标情况等35个三级指标。评价工作组通过走访座谈、实地查阅和调查问卷等方式对环保设备运维事项资金实施评价。</w:t>
      </w:r>
    </w:p>
    <w:p>
      <w:pPr>
        <w:snapToGrid w:val="0"/>
        <w:spacing w:line="600" w:lineRule="atLeast"/>
        <w:jc w:val="center"/>
        <w:rPr>
          <w:rFonts w:ascii="仿宋_GB2312" w:hAnsi="宋体"/>
          <w:szCs w:val="32"/>
        </w:rPr>
      </w:pPr>
      <w:r>
        <w:rPr>
          <w:rFonts w:hint="eastAsia" w:ascii="宋体" w:hAnsi="宋体" w:eastAsia="宋体"/>
          <w:b/>
          <w:sz w:val="21"/>
          <w:szCs w:val="21"/>
        </w:rPr>
        <w:t>攀枝花市本级</w:t>
      </w:r>
      <w:r>
        <w:rPr>
          <w:rFonts w:hint="eastAsia" w:ascii="宋体" w:hAnsi="宋体" w:eastAsia="宋体"/>
          <w:b/>
          <w:sz w:val="21"/>
          <w:szCs w:val="21"/>
          <w:lang w:eastAsia="zh-CN"/>
        </w:rPr>
        <w:t>环保设备运维</w:t>
      </w:r>
      <w:r>
        <w:rPr>
          <w:rFonts w:ascii="宋体" w:hAnsi="宋体" w:eastAsia="宋体"/>
          <w:b/>
          <w:sz w:val="21"/>
          <w:szCs w:val="21"/>
        </w:rPr>
        <w:t>项目绩效</w:t>
      </w:r>
      <w:r>
        <w:rPr>
          <w:rFonts w:hint="eastAsia" w:ascii="宋体" w:hAnsi="宋体" w:eastAsia="宋体"/>
          <w:b/>
          <w:sz w:val="21"/>
          <w:szCs w:val="21"/>
        </w:rPr>
        <w:t>目标</w:t>
      </w:r>
      <w:r>
        <w:rPr>
          <w:rFonts w:ascii="宋体" w:hAnsi="宋体" w:eastAsia="宋体"/>
          <w:b/>
          <w:sz w:val="21"/>
          <w:szCs w:val="21"/>
        </w:rPr>
        <w:t>表</w:t>
      </w:r>
    </w:p>
    <w:tbl>
      <w:tblPr>
        <w:tblStyle w:val="17"/>
        <w:tblW w:w="8931" w:type="dxa"/>
        <w:tblInd w:w="15" w:type="dxa"/>
        <w:tblLayout w:type="fixed"/>
        <w:tblCellMar>
          <w:top w:w="0" w:type="dxa"/>
          <w:left w:w="0" w:type="dxa"/>
          <w:bottom w:w="0" w:type="dxa"/>
          <w:right w:w="0" w:type="dxa"/>
        </w:tblCellMar>
      </w:tblPr>
      <w:tblGrid>
        <w:gridCol w:w="1971"/>
        <w:gridCol w:w="2190"/>
        <w:gridCol w:w="2325"/>
        <w:gridCol w:w="2445"/>
      </w:tblGrid>
      <w:tr>
        <w:tblPrEx>
          <w:tblCellMar>
            <w:top w:w="0" w:type="dxa"/>
            <w:left w:w="0" w:type="dxa"/>
            <w:bottom w:w="0" w:type="dxa"/>
            <w:right w:w="0" w:type="dxa"/>
          </w:tblCellMar>
        </w:tblPrEx>
        <w:trPr>
          <w:trHeight w:val="340" w:hRule="atLeast"/>
        </w:trPr>
        <w:tc>
          <w:tcPr>
            <w:tcW w:w="1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ascii="宋体" w:hAnsi="宋体" w:eastAsia="宋体"/>
                <w:b/>
                <w:bCs/>
                <w:color w:val="000000"/>
                <w:sz w:val="18"/>
                <w:szCs w:val="18"/>
              </w:rPr>
            </w:pPr>
            <w:r>
              <w:rPr>
                <w:rFonts w:ascii="宋体" w:hAnsi="宋体" w:eastAsia="宋体"/>
                <w:b/>
                <w:bCs/>
                <w:color w:val="000000"/>
                <w:kern w:val="0"/>
                <w:sz w:val="18"/>
                <w:szCs w:val="18"/>
                <w:lang w:bidi="ar"/>
              </w:rPr>
              <w:t>一级指标</w:t>
            </w:r>
          </w:p>
        </w:tc>
        <w:tc>
          <w:tcPr>
            <w:tcW w:w="2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ascii="宋体" w:hAnsi="宋体" w:eastAsia="宋体"/>
                <w:b/>
                <w:bCs/>
                <w:color w:val="000000"/>
                <w:sz w:val="18"/>
                <w:szCs w:val="18"/>
              </w:rPr>
            </w:pPr>
            <w:r>
              <w:rPr>
                <w:rFonts w:ascii="宋体" w:hAnsi="宋体" w:eastAsia="宋体"/>
                <w:b/>
                <w:bCs/>
                <w:color w:val="000000"/>
                <w:kern w:val="0"/>
                <w:sz w:val="18"/>
                <w:szCs w:val="18"/>
                <w:lang w:bidi="ar"/>
              </w:rPr>
              <w:t>二级指标</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ascii="宋体" w:hAnsi="宋体" w:eastAsia="宋体"/>
                <w:b/>
                <w:bCs/>
                <w:color w:val="000000"/>
                <w:sz w:val="18"/>
                <w:szCs w:val="18"/>
              </w:rPr>
            </w:pPr>
            <w:r>
              <w:rPr>
                <w:rFonts w:ascii="宋体" w:hAnsi="宋体" w:eastAsia="宋体"/>
                <w:b/>
                <w:bCs/>
                <w:color w:val="000000"/>
                <w:kern w:val="0"/>
                <w:sz w:val="18"/>
                <w:szCs w:val="18"/>
                <w:lang w:bidi="ar"/>
              </w:rPr>
              <w:t>三级指标</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ascii="宋体" w:hAnsi="宋体" w:eastAsia="宋体"/>
                <w:b/>
                <w:bCs/>
                <w:color w:val="000000"/>
                <w:sz w:val="18"/>
                <w:szCs w:val="18"/>
              </w:rPr>
            </w:pPr>
            <w:r>
              <w:rPr>
                <w:rFonts w:ascii="宋体" w:hAnsi="宋体" w:eastAsia="宋体"/>
                <w:b/>
                <w:bCs/>
                <w:color w:val="000000"/>
                <w:kern w:val="0"/>
                <w:sz w:val="18"/>
                <w:szCs w:val="18"/>
                <w:lang w:bidi="ar"/>
              </w:rPr>
              <w:t>指标值</w:t>
            </w:r>
          </w:p>
        </w:tc>
      </w:tr>
      <w:tr>
        <w:tblPrEx>
          <w:tblCellMar>
            <w:top w:w="0" w:type="dxa"/>
            <w:left w:w="0" w:type="dxa"/>
            <w:bottom w:w="0" w:type="dxa"/>
            <w:right w:w="0" w:type="dxa"/>
          </w:tblCellMar>
        </w:tblPrEx>
        <w:trPr>
          <w:trHeight w:val="340" w:hRule="atLeast"/>
        </w:trPr>
        <w:tc>
          <w:tcPr>
            <w:tcW w:w="19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hint="default" w:ascii="宋体" w:hAnsi="宋体" w:eastAsia="宋体"/>
                <w:b/>
                <w:bCs/>
                <w:color w:val="000000"/>
                <w:kern w:val="0"/>
                <w:sz w:val="18"/>
                <w:szCs w:val="18"/>
                <w:lang w:val="en-US" w:eastAsia="zh-CN" w:bidi="ar"/>
              </w:rPr>
            </w:pPr>
            <w:r>
              <w:rPr>
                <w:rFonts w:hint="eastAsia" w:ascii="宋体" w:hAnsi="宋体" w:eastAsia="宋体"/>
                <w:b/>
                <w:bCs/>
                <w:color w:val="000000"/>
                <w:kern w:val="0"/>
                <w:sz w:val="18"/>
                <w:szCs w:val="18"/>
                <w:lang w:eastAsia="zh-CN" w:bidi="ar"/>
              </w:rPr>
              <w:t>仪器设备运行正常＞</w:t>
            </w:r>
            <w:r>
              <w:rPr>
                <w:rFonts w:hint="eastAsia" w:ascii="宋体" w:hAnsi="宋体" w:eastAsia="宋体"/>
                <w:b/>
                <w:bCs/>
                <w:color w:val="000000"/>
                <w:kern w:val="0"/>
                <w:sz w:val="18"/>
                <w:szCs w:val="18"/>
                <w:lang w:val="en-US" w:eastAsia="zh-CN" w:bidi="ar"/>
              </w:rPr>
              <w:t>95%</w:t>
            </w:r>
          </w:p>
        </w:tc>
        <w:tc>
          <w:tcPr>
            <w:tcW w:w="2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hint="default" w:ascii="宋体" w:hAnsi="宋体" w:eastAsia="宋体"/>
                <w:b/>
                <w:bCs/>
                <w:color w:val="000000"/>
                <w:kern w:val="0"/>
                <w:sz w:val="18"/>
                <w:szCs w:val="18"/>
                <w:lang w:val="en-US" w:eastAsia="zh-CN" w:bidi="ar"/>
              </w:rPr>
            </w:pPr>
            <w:r>
              <w:rPr>
                <w:rFonts w:hint="eastAsia" w:ascii="宋体" w:hAnsi="宋体" w:eastAsia="宋体"/>
                <w:b/>
                <w:bCs/>
                <w:color w:val="000000"/>
                <w:kern w:val="0"/>
                <w:sz w:val="18"/>
                <w:szCs w:val="18"/>
                <w:lang w:eastAsia="zh-CN" w:bidi="ar"/>
              </w:rPr>
              <w:t>监测任务按期完成率＞</w:t>
            </w:r>
            <w:r>
              <w:rPr>
                <w:rFonts w:hint="eastAsia" w:ascii="宋体" w:hAnsi="宋体" w:eastAsia="宋体"/>
                <w:b/>
                <w:bCs/>
                <w:color w:val="000000"/>
                <w:kern w:val="0"/>
                <w:sz w:val="18"/>
                <w:szCs w:val="18"/>
                <w:lang w:val="en-US" w:eastAsia="zh-CN" w:bidi="ar"/>
              </w:rPr>
              <w:t>95%</w:t>
            </w:r>
          </w:p>
        </w:tc>
        <w:tc>
          <w:tcPr>
            <w:tcW w:w="2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hint="eastAsia" w:ascii="宋体" w:hAnsi="宋体" w:eastAsia="宋体"/>
                <w:b/>
                <w:bCs/>
                <w:color w:val="000000"/>
                <w:kern w:val="0"/>
                <w:sz w:val="18"/>
                <w:szCs w:val="18"/>
                <w:lang w:eastAsia="zh-CN" w:bidi="ar"/>
              </w:rPr>
            </w:pPr>
            <w:r>
              <w:rPr>
                <w:rFonts w:hint="eastAsia" w:ascii="宋体" w:hAnsi="宋体" w:eastAsia="宋体"/>
                <w:b/>
                <w:bCs/>
                <w:color w:val="000000"/>
                <w:kern w:val="0"/>
                <w:sz w:val="18"/>
                <w:szCs w:val="18"/>
                <w:lang w:eastAsia="zh-CN" w:bidi="ar"/>
              </w:rPr>
              <w:t>改善环境监测质量</w:t>
            </w:r>
          </w:p>
        </w:tc>
        <w:tc>
          <w:tcPr>
            <w:tcW w:w="24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line="320" w:lineRule="atLeast"/>
              <w:jc w:val="center"/>
              <w:textAlignment w:val="center"/>
              <w:rPr>
                <w:rFonts w:hint="default" w:ascii="宋体" w:hAnsi="宋体" w:eastAsia="宋体"/>
                <w:b/>
                <w:bCs/>
                <w:color w:val="000000"/>
                <w:kern w:val="0"/>
                <w:sz w:val="18"/>
                <w:szCs w:val="18"/>
                <w:lang w:val="en-US" w:eastAsia="zh-CN" w:bidi="ar"/>
              </w:rPr>
            </w:pPr>
            <w:r>
              <w:rPr>
                <w:rFonts w:hint="eastAsia" w:ascii="宋体" w:hAnsi="宋体" w:eastAsia="宋体"/>
                <w:b/>
                <w:bCs/>
                <w:color w:val="000000"/>
                <w:kern w:val="0"/>
                <w:sz w:val="18"/>
                <w:szCs w:val="18"/>
                <w:lang w:eastAsia="zh-CN" w:bidi="ar"/>
              </w:rPr>
              <w:t>大于</w:t>
            </w:r>
            <w:r>
              <w:rPr>
                <w:rFonts w:hint="eastAsia" w:ascii="宋体" w:hAnsi="宋体" w:eastAsia="宋体"/>
                <w:b/>
                <w:bCs/>
                <w:color w:val="000000"/>
                <w:kern w:val="0"/>
                <w:sz w:val="18"/>
                <w:szCs w:val="18"/>
                <w:lang w:val="en-US" w:eastAsia="zh-CN" w:bidi="ar"/>
              </w:rPr>
              <w:t>90%</w:t>
            </w:r>
          </w:p>
        </w:tc>
      </w:tr>
    </w:tbl>
    <w:p>
      <w:pPr>
        <w:snapToGrid w:val="0"/>
        <w:spacing w:line="600" w:lineRule="atLeas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（四）实施可行性</w:t>
      </w:r>
    </w:p>
    <w:p>
      <w:pPr>
        <w:snapToGrid w:val="0"/>
        <w:spacing w:line="600" w:lineRule="atLeas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主要绩效目标。改善钒钛高新区生态环境质量，提高环境保护管理水平，促进环保事业发展。环保设施运维项目资金的使用，基本达到了既定目标，环境社会效益显著提升。通过建立该模式体系，基本实现了从人工为主向设备和人工有机结合转变，从单一平面管理向全方位立体环保管理模式转变，从被动向源头治理转变。同时，全面推广了“互联网+”的高效环保管理模式，有效监管辖区内大气、废水污染物排放，弥补现有监测监控体系中的不足。切实推动了钒钛高新区生态环境质量的整体提升。</w:t>
      </w:r>
    </w:p>
    <w:p>
      <w:pPr>
        <w:snapToGrid w:val="0"/>
        <w:spacing w:line="600" w:lineRule="atLeas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（五）筹资合规性</w:t>
      </w:r>
    </w:p>
    <w:p>
      <w:pPr>
        <w:snapToGrid w:val="0"/>
        <w:spacing w:line="600" w:lineRule="atLeas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政策或项目具有公共性，属于公共财政支持范围，筹资渠道符合法律法规规定，筹资结构合理，资金来源渠道明确，各渠道资金到位时间、条件能够落实。</w:t>
      </w:r>
    </w:p>
    <w:p>
      <w:pPr>
        <w:snapToGrid w:val="0"/>
        <w:spacing w:line="600" w:lineRule="atLeas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六、评估结论</w:t>
      </w:r>
    </w:p>
    <w:p>
      <w:pPr>
        <w:snapToGrid w:val="0"/>
        <w:spacing w:line="600" w:lineRule="atLeast"/>
        <w:ind w:firstLine="640" w:firstLineChars="200"/>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综合前述评估内容来看，该项目立项必要性和依据是充分，绩效目标是明确，是具备实施条件，是具有公共性，是否符合财政资金支持方向等。建议予以支持，预算控制在    万元以内。该项目申请资金总预算 30.32万元，经评审，建议预算申报数 30.32万元,合计评减 0万元，评减率0%。我单位将进一步优化完善实施方案和绩效目标，加强运行监控，节约财政资金并提升资金效益，提升预算绩效管理水平。</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pStyle w:val="2"/>
        <w:rPr>
          <w:rFonts w:hint="eastAsia"/>
          <w:lang w:val="en-US" w:eastAsia="zh-CN"/>
        </w:rPr>
      </w:pPr>
    </w:p>
    <w:p>
      <w:pPr>
        <w:pStyle w:val="2"/>
        <w:rPr>
          <w:rFonts w:hint="eastAsia" w:ascii="Times New Roman" w:hAnsi="Times New Roman" w:eastAsia="仿宋_GB2312" w:cs="仿宋_GB2312"/>
          <w:b w:val="0"/>
          <w:bCs w:val="0"/>
          <w:kern w:val="0"/>
          <w:position w:val="0"/>
          <w:sz w:val="32"/>
          <w:szCs w:val="32"/>
          <w:highlight w:val="none"/>
          <w:lang w:val="en-US" w:eastAsia="zh-CN" w:bidi="ar-SA"/>
        </w:rPr>
      </w:pPr>
    </w:p>
    <w:p>
      <w:pPr>
        <w:pStyle w:val="3"/>
        <w:ind w:left="0" w:leftChars="0" w:firstLine="0" w:firstLineChars="0"/>
        <w:jc w:val="both"/>
        <w:rPr>
          <w:rFonts w:hint="default" w:ascii="Times New Roman" w:hAnsi="Times New Roman" w:eastAsia="仿宋_GB2312" w:cs="仿宋_GB2312"/>
          <w:b w:val="0"/>
          <w:bCs w:val="0"/>
          <w:i w:val="0"/>
          <w:kern w:val="0"/>
          <w:position w:val="0"/>
          <w:sz w:val="32"/>
          <w:szCs w:val="32"/>
          <w:highlight w:val="none"/>
          <w:lang w:val="en-US" w:eastAsia="zh-CN" w:bidi="ar-SA"/>
        </w:rPr>
      </w:pPr>
      <w:r>
        <w:rPr>
          <w:rFonts w:hint="eastAsia" w:ascii="Times New Roman" w:hAnsi="Times New Roman" w:eastAsia="仿宋_GB2312" w:cs="仿宋_GB2312"/>
          <w:b w:val="0"/>
          <w:bCs w:val="0"/>
          <w:i w:val="0"/>
          <w:kern w:val="0"/>
          <w:position w:val="0"/>
          <w:sz w:val="32"/>
          <w:szCs w:val="32"/>
          <w:highlight w:val="none"/>
          <w:lang w:val="en-US" w:eastAsia="zh-CN" w:bidi="ar-SA"/>
        </w:rPr>
        <w:t>部门预算项目支出绩效自评表（2024年度）见附件3</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49"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45"/>
      <w:bookmarkEnd w:id="49"/>
      <w:bookmarkStart w:id="50" w:name="_Toc15396619"/>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0"/>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0"/>
      <w:r>
        <w:rPr>
          <w:rFonts w:hint="eastAsia" w:ascii="Times New Roman" w:hAnsi="Times New Roman" w:eastAsia="仿宋_GB2312" w:cs="仿宋_GB2312"/>
          <w:color w:val="auto"/>
          <w:sz w:val="32"/>
          <w:szCs w:val="32"/>
          <w:highlight w:val="none"/>
        </w:rPr>
        <w:t>二、收入决算表</w:t>
      </w:r>
      <w:bookmarkEnd w:id="51"/>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1"/>
      <w:r>
        <w:rPr>
          <w:rFonts w:hint="eastAsia" w:ascii="Times New Roman" w:hAnsi="Times New Roman" w:eastAsia="仿宋_GB2312" w:cs="仿宋_GB2312"/>
          <w:color w:val="auto"/>
          <w:sz w:val="32"/>
          <w:szCs w:val="32"/>
          <w:highlight w:val="none"/>
        </w:rPr>
        <w:t>三、支出决算表</w:t>
      </w:r>
      <w:bookmarkEnd w:id="52"/>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2"/>
      <w:r>
        <w:rPr>
          <w:rFonts w:hint="eastAsia" w:ascii="Times New Roman" w:hAnsi="Times New Roman" w:eastAsia="仿宋_GB2312" w:cs="仿宋_GB2312"/>
          <w:color w:val="auto"/>
          <w:sz w:val="32"/>
          <w:szCs w:val="32"/>
          <w:highlight w:val="none"/>
        </w:rPr>
        <w:t>四、财政拨款收入支出决算总表</w:t>
      </w:r>
      <w:bookmarkEnd w:id="53"/>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3"/>
      <w:r>
        <w:rPr>
          <w:rFonts w:hint="eastAsia" w:ascii="Times New Roman" w:hAnsi="Times New Roman" w:eastAsia="仿宋_GB2312" w:cs="仿宋_GB2312"/>
          <w:color w:val="auto"/>
          <w:sz w:val="32"/>
          <w:szCs w:val="32"/>
          <w:highlight w:val="none"/>
        </w:rPr>
        <w:t>五、财政拨款支出决算明细表</w:t>
      </w:r>
      <w:bookmarkEnd w:id="54"/>
      <w:bookmarkStart w:id="55" w:name="_Toc15396624"/>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5"/>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5"/>
      <w:r>
        <w:rPr>
          <w:rFonts w:hint="eastAsia" w:ascii="Times New Roman" w:hAnsi="Times New Roman" w:eastAsia="仿宋_GB2312" w:cs="仿宋_GB2312"/>
          <w:color w:val="auto"/>
          <w:sz w:val="32"/>
          <w:szCs w:val="32"/>
          <w:highlight w:val="none"/>
        </w:rPr>
        <w:t>七、一般公共预算财政拨款支出决算明细表</w:t>
      </w:r>
      <w:bookmarkEnd w:id="56"/>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6"/>
      <w:r>
        <w:rPr>
          <w:rFonts w:hint="eastAsia" w:ascii="Times New Roman" w:hAnsi="Times New Roman" w:eastAsia="仿宋_GB2312" w:cs="仿宋_GB2312"/>
          <w:color w:val="auto"/>
          <w:sz w:val="32"/>
          <w:szCs w:val="32"/>
          <w:highlight w:val="none"/>
        </w:rPr>
        <w:t>八、一般公共预算财政拨款基本支出决算表</w:t>
      </w:r>
      <w:bookmarkEnd w:id="57"/>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7"/>
      <w:r>
        <w:rPr>
          <w:rFonts w:hint="eastAsia" w:ascii="Times New Roman" w:hAnsi="Times New Roman" w:eastAsia="仿宋_GB2312" w:cs="仿宋_GB2312"/>
          <w:color w:val="auto"/>
          <w:sz w:val="32"/>
          <w:szCs w:val="32"/>
          <w:highlight w:val="none"/>
        </w:rPr>
        <w:t>九、一般公共预算财政拨款项目支出决算表</w:t>
      </w:r>
      <w:bookmarkEnd w:id="58"/>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8"/>
      <w:r>
        <w:rPr>
          <w:rFonts w:hint="eastAsia" w:ascii="Times New Roman" w:hAnsi="Times New Roman" w:eastAsia="仿宋_GB2312" w:cs="仿宋_GB2312"/>
          <w:color w:val="auto"/>
          <w:sz w:val="32"/>
          <w:szCs w:val="32"/>
          <w:highlight w:val="none"/>
        </w:rPr>
        <w:t>十、</w:t>
      </w:r>
      <w:bookmarkEnd w:id="59"/>
      <w:r>
        <w:rPr>
          <w:rFonts w:hint="eastAsia" w:ascii="Times New Roman" w:hAnsi="Times New Roman" w:eastAsia="仿宋_GB2312" w:cs="仿宋_GB2312"/>
          <w:color w:val="auto"/>
          <w:sz w:val="32"/>
          <w:szCs w:val="32"/>
          <w:highlight w:val="none"/>
        </w:rPr>
        <w:t>政府性基金预算财政拨款收入支出决算表</w:t>
      </w:r>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9"/>
      <w:r>
        <w:rPr>
          <w:rFonts w:hint="eastAsia" w:ascii="Times New Roman" w:hAnsi="Times New Roman" w:eastAsia="仿宋_GB2312" w:cs="仿宋_GB2312"/>
          <w:color w:val="auto"/>
          <w:sz w:val="32"/>
          <w:szCs w:val="32"/>
          <w:highlight w:val="none"/>
        </w:rPr>
        <w:t>十一、</w:t>
      </w:r>
      <w:bookmarkEnd w:id="6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30"/>
      <w:r>
        <w:rPr>
          <w:rFonts w:hint="eastAsia" w:ascii="Times New Roman" w:hAnsi="Times New Roman" w:eastAsia="仿宋_GB2312" w:cs="仿宋_GB2312"/>
          <w:color w:val="auto"/>
          <w:sz w:val="32"/>
          <w:szCs w:val="32"/>
          <w:highlight w:val="none"/>
        </w:rPr>
        <w:t>十二、</w:t>
      </w:r>
      <w:bookmarkEnd w:id="61"/>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2" w:name="_Toc15396631"/>
      <w:r>
        <w:rPr>
          <w:rFonts w:hint="eastAsia" w:ascii="Times New Roman" w:hAnsi="Times New Roman" w:eastAsia="仿宋_GB2312" w:cs="仿宋_GB2312"/>
          <w:color w:val="auto"/>
          <w:sz w:val="32"/>
          <w:szCs w:val="32"/>
          <w:highlight w:val="none"/>
        </w:rPr>
        <w:t>十三、</w:t>
      </w:r>
      <w:bookmarkEnd w:id="62"/>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汉仪仿宋S"/>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E1497"/>
    <w:multiLevelType w:val="singleLevel"/>
    <w:tmpl w:val="944E1497"/>
    <w:lvl w:ilvl="0" w:tentative="0">
      <w:start w:val="2"/>
      <w:numFmt w:val="chineseCounting"/>
      <w:suff w:val="nothing"/>
      <w:lvlText w:val="（%1）"/>
      <w:lvlJc w:val="left"/>
      <w:rPr>
        <w:rFonts w:hint="eastAsia"/>
      </w:rPr>
    </w:lvl>
  </w:abstractNum>
  <w:abstractNum w:abstractNumId="1">
    <w:nsid w:val="DC039438"/>
    <w:multiLevelType w:val="singleLevel"/>
    <w:tmpl w:val="DC039438"/>
    <w:lvl w:ilvl="0" w:tentative="0">
      <w:start w:val="2"/>
      <w:numFmt w:val="decimal"/>
      <w:suff w:val="nothing"/>
      <w:lvlText w:val="%1、"/>
      <w:lvlJc w:val="left"/>
    </w:lvl>
  </w:abstractNum>
  <w:abstractNum w:abstractNumId="2">
    <w:nsid w:val="297502B6"/>
    <w:multiLevelType w:val="singleLevel"/>
    <w:tmpl w:val="297502B6"/>
    <w:lvl w:ilvl="0" w:tentative="0">
      <w:start w:val="1"/>
      <w:numFmt w:val="chineseCounting"/>
      <w:suff w:val="nothing"/>
      <w:lvlText w:val="%1、"/>
      <w:lvlJc w:val="left"/>
      <w:rPr>
        <w:rFonts w:hint="eastAsia"/>
      </w:rPr>
    </w:lvl>
  </w:abstractNum>
  <w:abstractNum w:abstractNumId="3">
    <w:nsid w:val="68B55CDC"/>
    <w:multiLevelType w:val="singleLevel"/>
    <w:tmpl w:val="68B55CDC"/>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ODE5OTlkM2EwYWEyY2E4YzI3MDZjOTMzODBiM2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313136"/>
    <w:rsid w:val="095D7FB8"/>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50679F6"/>
    <w:rsid w:val="16450189"/>
    <w:rsid w:val="165E0673"/>
    <w:rsid w:val="16B831D5"/>
    <w:rsid w:val="16BB723D"/>
    <w:rsid w:val="17E50567"/>
    <w:rsid w:val="186504BB"/>
    <w:rsid w:val="19A445FC"/>
    <w:rsid w:val="1AAF3EC8"/>
    <w:rsid w:val="1BE8440E"/>
    <w:rsid w:val="1D155CEE"/>
    <w:rsid w:val="1D1638FE"/>
    <w:rsid w:val="1E312DEB"/>
    <w:rsid w:val="1E740ACF"/>
    <w:rsid w:val="1FF35744"/>
    <w:rsid w:val="1FF6BC77"/>
    <w:rsid w:val="2186353C"/>
    <w:rsid w:val="21967609"/>
    <w:rsid w:val="233578F6"/>
    <w:rsid w:val="23860B96"/>
    <w:rsid w:val="240371BF"/>
    <w:rsid w:val="244F3473"/>
    <w:rsid w:val="24511E14"/>
    <w:rsid w:val="24C97D99"/>
    <w:rsid w:val="25A718F0"/>
    <w:rsid w:val="25A77F4A"/>
    <w:rsid w:val="25BB59F6"/>
    <w:rsid w:val="260F557C"/>
    <w:rsid w:val="26970054"/>
    <w:rsid w:val="26BB5E0A"/>
    <w:rsid w:val="281408E2"/>
    <w:rsid w:val="29FD04D3"/>
    <w:rsid w:val="2BE04859"/>
    <w:rsid w:val="2BFF7BC6"/>
    <w:rsid w:val="2C8A61B5"/>
    <w:rsid w:val="2DF04E50"/>
    <w:rsid w:val="2E586DFA"/>
    <w:rsid w:val="2F040D46"/>
    <w:rsid w:val="2F6B035B"/>
    <w:rsid w:val="2FAE5751"/>
    <w:rsid w:val="2FB1A395"/>
    <w:rsid w:val="2FD9A7D8"/>
    <w:rsid w:val="2FDBF714"/>
    <w:rsid w:val="30AB6865"/>
    <w:rsid w:val="319F7F4E"/>
    <w:rsid w:val="32152E7B"/>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05E4103"/>
    <w:rsid w:val="44E268DA"/>
    <w:rsid w:val="450D13D7"/>
    <w:rsid w:val="45506656"/>
    <w:rsid w:val="481C790F"/>
    <w:rsid w:val="486A6C7A"/>
    <w:rsid w:val="4A627F82"/>
    <w:rsid w:val="4B0E749A"/>
    <w:rsid w:val="4B2477C4"/>
    <w:rsid w:val="4B4F25DA"/>
    <w:rsid w:val="4BB5666E"/>
    <w:rsid w:val="4BBF15A5"/>
    <w:rsid w:val="4BE068DB"/>
    <w:rsid w:val="4D577224"/>
    <w:rsid w:val="4DBF1CEB"/>
    <w:rsid w:val="4DF0007C"/>
    <w:rsid w:val="4E5B3FA1"/>
    <w:rsid w:val="4EAB630A"/>
    <w:rsid w:val="4ECE2238"/>
    <w:rsid w:val="4F833267"/>
    <w:rsid w:val="4FE9BD67"/>
    <w:rsid w:val="4FFB052F"/>
    <w:rsid w:val="530C761E"/>
    <w:rsid w:val="537E6D0A"/>
    <w:rsid w:val="53F74C96"/>
    <w:rsid w:val="55170BA8"/>
    <w:rsid w:val="553218C9"/>
    <w:rsid w:val="565C64E0"/>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026851"/>
    <w:rsid w:val="62BF3928"/>
    <w:rsid w:val="63B3701E"/>
    <w:rsid w:val="647F5392"/>
    <w:rsid w:val="64E92CE8"/>
    <w:rsid w:val="65DE6078"/>
    <w:rsid w:val="65E66580"/>
    <w:rsid w:val="664B1D71"/>
    <w:rsid w:val="664B4E8E"/>
    <w:rsid w:val="67277B67"/>
    <w:rsid w:val="67AA3209"/>
    <w:rsid w:val="698D0931"/>
    <w:rsid w:val="6A7FE5F3"/>
    <w:rsid w:val="6B053271"/>
    <w:rsid w:val="6BC648DA"/>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849FC"/>
    <w:rsid w:val="73FA497D"/>
    <w:rsid w:val="744731E5"/>
    <w:rsid w:val="74B63C19"/>
    <w:rsid w:val="74BBD01D"/>
    <w:rsid w:val="74ED5379"/>
    <w:rsid w:val="75DEEEC2"/>
    <w:rsid w:val="75E32345"/>
    <w:rsid w:val="766320B0"/>
    <w:rsid w:val="76E3355F"/>
    <w:rsid w:val="76FF5125"/>
    <w:rsid w:val="776F6FFA"/>
    <w:rsid w:val="778769C8"/>
    <w:rsid w:val="77A75DCA"/>
    <w:rsid w:val="77DC22F5"/>
    <w:rsid w:val="783E271A"/>
    <w:rsid w:val="78616DE9"/>
    <w:rsid w:val="78E875D7"/>
    <w:rsid w:val="79086DAD"/>
    <w:rsid w:val="79D7FD79"/>
    <w:rsid w:val="79EE5BA4"/>
    <w:rsid w:val="7A894339"/>
    <w:rsid w:val="7AD24297"/>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7"/>
    <w:qFormat/>
    <w:uiPriority w:val="99"/>
    <w:pPr>
      <w:spacing w:beforeLines="30"/>
    </w:pPr>
    <w:rPr>
      <w:rFonts w:ascii="仿宋_GB2312" w:eastAsia="仿宋_GB2312"/>
      <w:kern w:val="0"/>
      <w:sz w:val="30"/>
    </w:rPr>
  </w:style>
  <w:style w:type="paragraph" w:customStyle="1" w:styleId="3">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7">
    <w:name w:val="index 5"/>
    <w:basedOn w:val="1"/>
    <w:next w:val="1"/>
    <w:qFormat/>
    <w:uiPriority w:val="0"/>
    <w:pPr>
      <w:ind w:left="1680"/>
    </w:pPr>
    <w:rPr>
      <w:rFonts w:ascii="黑体" w:eastAsia="黑体"/>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4"/>
    <w:qFormat/>
    <w:uiPriority w:val="9"/>
    <w:rPr>
      <w:rFonts w:ascii="Times New Roman" w:hAnsi="Times New Roman"/>
      <w:b/>
      <w:bCs/>
      <w:kern w:val="44"/>
      <w:sz w:val="44"/>
      <w:szCs w:val="44"/>
    </w:rPr>
  </w:style>
  <w:style w:type="character" w:customStyle="1" w:styleId="31">
    <w:name w:val="标题 2 Char"/>
    <w:basedOn w:val="18"/>
    <w:link w:val="5"/>
    <w:qFormat/>
    <w:uiPriority w:val="9"/>
    <w:rPr>
      <w:rFonts w:asciiTheme="majorHAnsi" w:hAnsiTheme="majorHAnsi" w:eastAsiaTheme="majorEastAsia" w:cstheme="majorBidi"/>
      <w:b/>
      <w:bCs/>
      <w:kern w:val="2"/>
      <w:sz w:val="32"/>
      <w:szCs w:val="32"/>
    </w:r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1"/>
    <w:semiHidden/>
    <w:qFormat/>
    <w:uiPriority w:val="99"/>
    <w:rPr>
      <w:rFonts w:ascii="Times New Roman" w:hAnsi="Times New Roman"/>
      <w:kern w:val="2"/>
      <w:sz w:val="18"/>
      <w:szCs w:val="18"/>
    </w:rPr>
  </w:style>
  <w:style w:type="character" w:customStyle="1" w:styleId="34">
    <w:name w:val="标题 3 Char"/>
    <w:basedOn w:val="18"/>
    <w:link w:val="6"/>
    <w:qFormat/>
    <w:uiPriority w:val="9"/>
    <w:rPr>
      <w:rFonts w:ascii="Times New Roman" w:hAnsi="Times New Roman"/>
      <w:b/>
      <w:bCs/>
      <w:kern w:val="2"/>
      <w:sz w:val="32"/>
      <w:szCs w:val="32"/>
    </w:r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列出段落1"/>
    <w:basedOn w:val="1"/>
    <w:qFormat/>
    <w:uiPriority w:val="0"/>
    <w:pPr>
      <w:ind w:firstLine="420" w:firstLineChars="200"/>
    </w:pPr>
    <w:rPr>
      <w:rFonts w:eastAsia="宋体" w:cs="Calibri"/>
      <w:sz w:val="21"/>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4&#24180;&#20915;&#31639;&#20844;&#24320;\&#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24&#24180;&#20915;&#31639;&#20844;&#24320;\&#26032;&#24314;%20XLSX%20&#24037;&#20316;&#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024&#24180;&#20915;&#31639;&#20844;&#24320;\&#26032;&#24314;%20XLSX%20&#24037;&#20316;&#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24&#24180;&#20915;&#31639;&#20844;&#24320;\&#26032;&#24314;%20XLSX%20&#24037;&#20316;&#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024&#24180;&#20915;&#31639;&#20844;&#24320;\&#26032;&#24314;%20XLSX%20&#24037;&#20316;&#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024&#24180;&#20915;&#31639;&#20844;&#24320;\&#26032;&#24314;%20XLSX%20&#24037;&#20316;&#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024&#24180;&#20915;&#31639;&#20844;&#24320;\&#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baseline="0">
                <a:solidFill>
                  <a:schemeClr val="dk1">
                    <a:lumMod val="75000"/>
                    <a:lumOff val="25000"/>
                  </a:schemeClr>
                </a:solidFill>
                <a:latin typeface="+mn-lt"/>
                <a:ea typeface="+mn-ea"/>
                <a:cs typeface="+mn-cs"/>
              </a:defRPr>
            </a:pPr>
            <a:r>
              <a:t>2023年和2024年总收入支出对比图</a:t>
            </a:r>
          </a:p>
        </c:rich>
      </c:tx>
      <c:layout>
        <c:manualLayout>
          <c:xMode val="edge"/>
          <c:yMode val="edge"/>
          <c:x val="0.126944444444444"/>
          <c:y val="0.0367005813953488"/>
        </c:manualLayout>
      </c:layout>
      <c:overlay val="false"/>
      <c:spPr>
        <a:noFill/>
        <a:ln>
          <a:noFill/>
        </a:ln>
        <a:effectLst/>
      </c:spPr>
    </c:title>
    <c:autoTitleDeleted val="false"/>
    <c:plotArea>
      <c:layout/>
      <c:barChart>
        <c:barDir val="col"/>
        <c:grouping val="clustered"/>
        <c:varyColors val="false"/>
        <c:ser>
          <c:idx val="0"/>
          <c:order val="0"/>
          <c:tx>
            <c:strRef>
              <c:f>'[新建 XLSX 工作表.xlsx]Sheet1'!$A$2</c:f>
              <c:strCache>
                <c:ptCount val="1"/>
                <c:pt idx="0">
                  <c:v>总收入</c:v>
                </c:pt>
              </c:strCache>
            </c:strRef>
          </c:tx>
          <c:spPr>
            <a:solidFill>
              <a:schemeClr val="accent1">
                <a:alpha val="85000"/>
              </a:schemeClr>
            </a:solidFill>
            <a:ln w="9525" cap="flat" cmpd="sng" algn="ctr">
              <a:solidFill>
                <a:schemeClr val="lt1">
                  <a:alpha val="50000"/>
                </a:schemeClr>
              </a:solidFill>
              <a:round/>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lt1"/>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a:solidFill>
                        <a:schemeClr val="dk1">
                          <a:lumMod val="50000"/>
                          <a:lumOff val="50000"/>
                        </a:schemeClr>
                      </a:solidFill>
                    </a:ln>
                    <a:effectLst/>
                  </c:spPr>
                </c15:leaderLines>
              </c:ext>
            </c:extLst>
          </c:dLbls>
          <c:cat>
            <c:strRef>
              <c:f>'[新建 XLSX 工作表.xlsx]Sheet1'!$B$1:$C$1</c:f>
              <c:strCache>
                <c:ptCount val="2"/>
                <c:pt idx="0">
                  <c:v>2023年</c:v>
                </c:pt>
                <c:pt idx="1">
                  <c:v>2024年</c:v>
                </c:pt>
              </c:strCache>
            </c:strRef>
          </c:cat>
          <c:val>
            <c:numRef>
              <c:f>'[新建 XLSX 工作表.xlsx]Sheet1'!$B$2:$C$2</c:f>
              <c:numCache>
                <c:formatCode>General</c:formatCode>
                <c:ptCount val="2"/>
                <c:pt idx="0">
                  <c:v>56800.1</c:v>
                </c:pt>
                <c:pt idx="1">
                  <c:v>36459.02</c:v>
                </c:pt>
              </c:numCache>
            </c:numRef>
          </c:val>
        </c:ser>
        <c:ser>
          <c:idx val="1"/>
          <c:order val="1"/>
          <c:tx>
            <c:strRef>
              <c:f>'[新建 XLSX 工作表.xlsx]Sheet1'!$A$3</c:f>
              <c:strCache>
                <c:ptCount val="1"/>
                <c:pt idx="0">
                  <c:v>总支出</c:v>
                </c:pt>
              </c:strCache>
            </c:strRef>
          </c:tx>
          <c:spPr>
            <a:solidFill>
              <a:schemeClr val="accent2">
                <a:alpha val="85000"/>
              </a:schemeClr>
            </a:solidFill>
            <a:ln w="9525" cap="flat" cmpd="sng" algn="ctr">
              <a:solidFill>
                <a:schemeClr val="lt1">
                  <a:alpha val="50000"/>
                </a:schemeClr>
              </a:solidFill>
              <a:round/>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lt1"/>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a:solidFill>
                        <a:schemeClr val="dk1">
                          <a:lumMod val="50000"/>
                          <a:lumOff val="50000"/>
                        </a:schemeClr>
                      </a:solidFill>
                    </a:ln>
                    <a:effectLst/>
                  </c:spPr>
                </c15:leaderLines>
              </c:ext>
            </c:extLst>
          </c:dLbls>
          <c:cat>
            <c:strRef>
              <c:f>'[新建 XLSX 工作表.xlsx]Sheet1'!$B$1:$C$1</c:f>
              <c:strCache>
                <c:ptCount val="2"/>
                <c:pt idx="0">
                  <c:v>2023年</c:v>
                </c:pt>
                <c:pt idx="1">
                  <c:v>2024年</c:v>
                </c:pt>
              </c:strCache>
            </c:strRef>
          </c:cat>
          <c:val>
            <c:numRef>
              <c:f>'[新建 XLSX 工作表.xlsx]Sheet1'!$B$3:$C$3</c:f>
              <c:numCache>
                <c:formatCode>General</c:formatCode>
                <c:ptCount val="2"/>
                <c:pt idx="0">
                  <c:v>56800.1</c:v>
                </c:pt>
                <c:pt idx="1">
                  <c:v>36459.02</c:v>
                </c:pt>
              </c:numCache>
            </c:numRef>
          </c:val>
        </c:ser>
        <c:dLbls>
          <c:showLegendKey val="false"/>
          <c:showVal val="true"/>
          <c:showCatName val="false"/>
          <c:showSerName val="false"/>
          <c:showPercent val="false"/>
          <c:showBubbleSize val="false"/>
        </c:dLbls>
        <c:gapWidth val="65"/>
        <c:overlap val="0"/>
        <c:axId val="890344374"/>
        <c:axId val="331720161"/>
      </c:barChart>
      <c:catAx>
        <c:axId val="890344374"/>
        <c:scaling>
          <c:orientation val="minMax"/>
        </c:scaling>
        <c:delete val="false"/>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true"/>
          <a:lstStyle/>
          <a:p>
            <a:pPr>
              <a:defRPr lang="zh-CN" sz="900" b="0" i="0" u="none" strike="noStrike" kern="1200" cap="all" baseline="0">
                <a:solidFill>
                  <a:schemeClr val="dk1">
                    <a:lumMod val="75000"/>
                    <a:lumOff val="25000"/>
                  </a:schemeClr>
                </a:solidFill>
                <a:latin typeface="+mn-lt"/>
                <a:ea typeface="+mn-ea"/>
                <a:cs typeface="+mn-cs"/>
              </a:defRPr>
            </a:pPr>
          </a:p>
        </c:txPr>
        <c:crossAx val="331720161"/>
        <c:crosses val="autoZero"/>
        <c:auto val="true"/>
        <c:lblAlgn val="ctr"/>
        <c:lblOffset val="100"/>
        <c:noMultiLvlLbl val="false"/>
      </c:catAx>
      <c:valAx>
        <c:axId val="331720161"/>
        <c:scaling>
          <c:orientation val="minMax"/>
        </c:scaling>
        <c:delete val="true"/>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false"/>
              </a:gradFill>
              <a:round/>
            </a:ln>
            <a:effectLst/>
          </c:spPr>
        </c:majorGridlines>
        <c:numFmt formatCode="General" sourceLinked="true"/>
        <c:majorTickMark val="none"/>
        <c:minorTickMark val="none"/>
        <c:tickLblPos val="nextTo"/>
        <c:txPr>
          <a:bodyPr rot="-6000000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crossAx val="890344374"/>
        <c:crosses val="autoZero"/>
        <c:crossBetween val="between"/>
      </c:valAx>
      <c:spPr>
        <a:noFill/>
        <a:ln>
          <a:noFill/>
        </a:ln>
        <a:effectLst/>
      </c:spPr>
    </c:plotArea>
    <c:legend>
      <c:legendPos val="b"/>
      <c:layout/>
      <c:overlay val="false"/>
      <c:spPr>
        <a:solidFill>
          <a:schemeClr val="lt1">
            <a:lumMod val="95000"/>
            <a:alpha val="39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legend>
    <c:plotVisOnly val="true"/>
    <c:dispBlanksAs val="gap"/>
    <c:showDLblsOverMax val="false"/>
  </c:chart>
  <c: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baseline="0">
                <a:solidFill>
                  <a:schemeClr val="dk1">
                    <a:lumMod val="75000"/>
                    <a:lumOff val="25000"/>
                  </a:schemeClr>
                </a:solidFill>
                <a:latin typeface="+mn-lt"/>
                <a:ea typeface="+mn-ea"/>
                <a:cs typeface="+mn-cs"/>
              </a:defRPr>
            </a:pPr>
            <a:r>
              <a:t>收入构成情况表</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a:noFill/>
              </a:ln>
              <a:effectLst>
                <a:outerShdw blurRad="254000" sx="102000" sy="102000" algn="ctr" rotWithShape="0">
                  <a:prstClr val="black">
                    <a:alpha val="20000"/>
                  </a:prstClr>
                </a:outerShdw>
              </a:effectLst>
            </c:spPr>
          </c:dPt>
          <c:dPt>
            <c:idx val="1"/>
            <c:bubble3D val="false"/>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true"/>
              <a:lstStyle/>
              <a:p>
                <a:pPr>
                  <a:defRPr lang="zh-CN" sz="1000" b="1" i="0" u="none" strike="noStrike" kern="1200" baseline="0">
                    <a:solidFill>
                      <a:schemeClr val="lt1"/>
                    </a:solidFill>
                    <a:latin typeface="+mn-lt"/>
                    <a:ea typeface="+mn-ea"/>
                    <a:cs typeface="+mn-cs"/>
                  </a:defRPr>
                </a:pPr>
              </a:p>
            </c:txPr>
            <c:dLblPos val="ctr"/>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a:solidFill>
                        <a:schemeClr val="dk1">
                          <a:lumMod val="50000"/>
                          <a:lumOff val="50000"/>
                        </a:schemeClr>
                      </a:solidFill>
                    </a:ln>
                    <a:effectLst/>
                  </c:spPr>
                </c15:leaderLines>
              </c:ext>
            </c:extLst>
          </c:dLbls>
          <c:cat>
            <c:strRef>
              <c:f>'[新建 XLSX 工作表.xlsx]Sheet2'!$A$2:$A$3</c:f>
              <c:strCache>
                <c:ptCount val="2"/>
                <c:pt idx="0">
                  <c:v>一般公共预算财政拨款收入</c:v>
                </c:pt>
                <c:pt idx="1">
                  <c:v>政府性基金预算财政拨款收入</c:v>
                </c:pt>
              </c:strCache>
            </c:strRef>
          </c:cat>
          <c:val>
            <c:numRef>
              <c:f>'[新建 XLSX 工作表.xlsx]Sheet2'!$B$2:$B$3</c:f>
              <c:numCache>
                <c:formatCode>General</c:formatCode>
                <c:ptCount val="2"/>
                <c:pt idx="0">
                  <c:v>32885.34</c:v>
                </c:pt>
                <c:pt idx="1">
                  <c:v>3573.68</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manualLayout>
          <c:xMode val="edge"/>
          <c:yMode val="edge"/>
          <c:x val="0.675395085938401"/>
          <c:y val="0.518991331757289"/>
          <c:w val="0.303841273503288"/>
          <c:h val="0.238455476753349"/>
        </c:manualLayout>
      </c:layout>
      <c:overlay val="false"/>
      <c:spPr>
        <a:solidFill>
          <a:schemeClr val="lt1">
            <a:lumMod val="95000"/>
            <a:alpha val="39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legend>
    <c:plotVisOnly val="true"/>
    <c:dispBlanksAs val="gap"/>
    <c:showDLblsOverMax val="false"/>
  </c:chart>
  <c: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600" b="1" i="0" u="none" strike="noStrike" kern="1200" baseline="0">
                <a:solidFill>
                  <a:schemeClr val="tx2"/>
                </a:solidFill>
                <a:latin typeface="+mn-lt"/>
                <a:ea typeface="+mn-ea"/>
                <a:cs typeface="+mn-cs"/>
              </a:defRPr>
            </a:pPr>
            <a:r>
              <a:t>支出构成情况表</a:t>
            </a:r>
          </a:p>
        </c:rich>
      </c:tx>
      <c:layout/>
      <c:overlay val="false"/>
      <c:spPr>
        <a:noFill/>
        <a:ln>
          <a:noFill/>
        </a:ln>
        <a:effectLst/>
      </c:spPr>
    </c:title>
    <c:autoTitleDeleted val="false"/>
    <c:plotArea>
      <c:layout/>
      <c:pieChart>
        <c:varyColors val="true"/>
        <c:ser>
          <c:idx val="0"/>
          <c:order val="0"/>
          <c:spPr/>
          <c:explosion val="0"/>
          <c:dPt>
            <c:idx val="0"/>
            <c:bubble3D val="false"/>
            <c:spPr>
              <a:gradFill rotWithShape="true">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false"/>
              </a:gradFill>
              <a:ln>
                <a:noFill/>
              </a:ln>
              <a:effectLst>
                <a:outerShdw blurRad="40000" dist="23000" dir="5400000" rotWithShape="0">
                  <a:srgbClr val="000000">
                    <a:alpha val="35000"/>
                  </a:srgbClr>
                </a:outerShdw>
              </a:effectLst>
            </c:spPr>
          </c:dPt>
          <c:dPt>
            <c:idx val="1"/>
            <c:bubble3D val="false"/>
            <c:spPr>
              <a:gradFill rotWithShape="true">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false"/>
              </a:gradFill>
              <a:ln>
                <a:noFill/>
              </a:ln>
              <a:effectLst>
                <a:outerShdw blurRad="40000" dist="23000" dir="5400000" rotWithShape="0">
                  <a:srgbClr val="000000">
                    <a:alpha val="35000"/>
                  </a:srgbClr>
                </a:outerShdw>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2"/>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a:solidFill>
                        <a:schemeClr val="tx2">
                          <a:lumMod val="35000"/>
                          <a:lumOff val="65000"/>
                        </a:schemeClr>
                      </a:solidFill>
                    </a:ln>
                    <a:effectLst/>
                  </c:spPr>
                </c15:leaderLines>
              </c:ext>
            </c:extLst>
          </c:dLbls>
          <c:cat>
            <c:strRef>
              <c:f>'[新建 XLSX 工作表.xlsx]Sheet3'!$A$2:$A$3</c:f>
              <c:strCache>
                <c:ptCount val="2"/>
                <c:pt idx="0">
                  <c:v>基本支出</c:v>
                </c:pt>
                <c:pt idx="1">
                  <c:v>项目支出</c:v>
                </c:pt>
              </c:strCache>
            </c:strRef>
          </c:cat>
          <c:val>
            <c:numRef>
              <c:f>'[新建 XLSX 工作表.xlsx]Sheet3'!$B$2:$B$3</c:f>
              <c:numCache>
                <c:formatCode>General</c:formatCode>
                <c:ptCount val="2"/>
                <c:pt idx="0">
                  <c:v>2812.21</c:v>
                </c:pt>
                <c:pt idx="1">
                  <c:v>33646.81</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2"/>
              </a:solidFill>
              <a:latin typeface="+mn-lt"/>
              <a:ea typeface="+mn-ea"/>
              <a:cs typeface="+mn-cs"/>
            </a:defRPr>
          </a:pPr>
        </a:p>
      </c:txPr>
    </c:legend>
    <c:plotVisOnly val="true"/>
    <c:dispBlanksAs val="gap"/>
    <c:showDLblsOverMax val="false"/>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baseline="0">
                <a:solidFill>
                  <a:schemeClr val="dk1">
                    <a:lumMod val="75000"/>
                    <a:lumOff val="25000"/>
                  </a:schemeClr>
                </a:solidFill>
                <a:latin typeface="+mn-lt"/>
                <a:ea typeface="+mn-ea"/>
                <a:cs typeface="+mn-cs"/>
              </a:defRPr>
            </a:pPr>
            <a:r>
              <a:t>2023年和2024年总收入支出对比图</a:t>
            </a:r>
          </a:p>
        </c:rich>
      </c:tx>
      <c:layout>
        <c:manualLayout>
          <c:xMode val="edge"/>
          <c:yMode val="edge"/>
          <c:x val="0.126944444444444"/>
          <c:y val="0.0367005813953488"/>
        </c:manualLayout>
      </c:layout>
      <c:overlay val="false"/>
      <c:spPr>
        <a:noFill/>
        <a:ln>
          <a:noFill/>
        </a:ln>
        <a:effectLst/>
      </c:spPr>
    </c:title>
    <c:autoTitleDeleted val="false"/>
    <c:plotArea>
      <c:layout/>
      <c:barChart>
        <c:barDir val="col"/>
        <c:grouping val="clustered"/>
        <c:varyColors val="false"/>
        <c:ser>
          <c:idx val="0"/>
          <c:order val="0"/>
          <c:tx>
            <c:strRef>
              <c:f>'[新建 XLSX 工作表.xlsx]Sheet1'!$A$2</c:f>
              <c:strCache>
                <c:ptCount val="1"/>
                <c:pt idx="0">
                  <c:v>总收入</c:v>
                </c:pt>
              </c:strCache>
            </c:strRef>
          </c:tx>
          <c:spPr>
            <a:solidFill>
              <a:schemeClr val="accent1">
                <a:alpha val="85000"/>
              </a:schemeClr>
            </a:solidFill>
            <a:ln w="9525" cap="flat" cmpd="sng" algn="ctr">
              <a:solidFill>
                <a:schemeClr val="lt1">
                  <a:alpha val="50000"/>
                </a:schemeClr>
              </a:solidFill>
              <a:round/>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lt1"/>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a:solidFill>
                        <a:schemeClr val="dk1">
                          <a:lumMod val="50000"/>
                          <a:lumOff val="50000"/>
                        </a:schemeClr>
                      </a:solidFill>
                    </a:ln>
                    <a:effectLst/>
                  </c:spPr>
                </c15:leaderLines>
              </c:ext>
            </c:extLst>
          </c:dLbls>
          <c:cat>
            <c:strRef>
              <c:f>'[新建 XLSX 工作表.xlsx]Sheet1'!$B$1:$C$1</c:f>
              <c:strCache>
                <c:ptCount val="2"/>
                <c:pt idx="0">
                  <c:v>2023年</c:v>
                </c:pt>
                <c:pt idx="1">
                  <c:v>2024年</c:v>
                </c:pt>
              </c:strCache>
            </c:strRef>
          </c:cat>
          <c:val>
            <c:numRef>
              <c:f>'[新建 XLSX 工作表.xlsx]Sheet1'!$B$2:$C$2</c:f>
              <c:numCache>
                <c:formatCode>General</c:formatCode>
                <c:ptCount val="2"/>
                <c:pt idx="0">
                  <c:v>56800.1</c:v>
                </c:pt>
                <c:pt idx="1">
                  <c:v>36459.02</c:v>
                </c:pt>
              </c:numCache>
            </c:numRef>
          </c:val>
        </c:ser>
        <c:ser>
          <c:idx val="1"/>
          <c:order val="1"/>
          <c:tx>
            <c:strRef>
              <c:f>'[新建 XLSX 工作表.xlsx]Sheet1'!$A$3</c:f>
              <c:strCache>
                <c:ptCount val="1"/>
                <c:pt idx="0">
                  <c:v>总支出</c:v>
                </c:pt>
              </c:strCache>
            </c:strRef>
          </c:tx>
          <c:spPr>
            <a:solidFill>
              <a:schemeClr val="accent2">
                <a:alpha val="85000"/>
              </a:schemeClr>
            </a:solidFill>
            <a:ln w="9525" cap="flat" cmpd="sng" algn="ctr">
              <a:solidFill>
                <a:schemeClr val="lt1">
                  <a:alpha val="50000"/>
                </a:schemeClr>
              </a:solidFill>
              <a:round/>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1" i="0" u="none" strike="noStrike" kern="1200" baseline="0">
                    <a:solidFill>
                      <a:schemeClr val="lt1"/>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a:solidFill>
                        <a:schemeClr val="dk1">
                          <a:lumMod val="50000"/>
                          <a:lumOff val="50000"/>
                        </a:schemeClr>
                      </a:solidFill>
                    </a:ln>
                    <a:effectLst/>
                  </c:spPr>
                </c15:leaderLines>
              </c:ext>
            </c:extLst>
          </c:dLbls>
          <c:cat>
            <c:strRef>
              <c:f>'[新建 XLSX 工作表.xlsx]Sheet1'!$B$1:$C$1</c:f>
              <c:strCache>
                <c:ptCount val="2"/>
                <c:pt idx="0">
                  <c:v>2023年</c:v>
                </c:pt>
                <c:pt idx="1">
                  <c:v>2024年</c:v>
                </c:pt>
              </c:strCache>
            </c:strRef>
          </c:cat>
          <c:val>
            <c:numRef>
              <c:f>'[新建 XLSX 工作表.xlsx]Sheet1'!$B$3:$C$3</c:f>
              <c:numCache>
                <c:formatCode>General</c:formatCode>
                <c:ptCount val="2"/>
                <c:pt idx="0">
                  <c:v>56800.1</c:v>
                </c:pt>
                <c:pt idx="1">
                  <c:v>36459.02</c:v>
                </c:pt>
              </c:numCache>
            </c:numRef>
          </c:val>
        </c:ser>
        <c:dLbls>
          <c:showLegendKey val="false"/>
          <c:showVal val="true"/>
          <c:showCatName val="false"/>
          <c:showSerName val="false"/>
          <c:showPercent val="false"/>
          <c:showBubbleSize val="false"/>
        </c:dLbls>
        <c:gapWidth val="65"/>
        <c:overlap val="0"/>
        <c:axId val="890344374"/>
        <c:axId val="331720161"/>
      </c:barChart>
      <c:catAx>
        <c:axId val="890344374"/>
        <c:scaling>
          <c:orientation val="minMax"/>
        </c:scaling>
        <c:delete val="false"/>
        <c:axPos val="b"/>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true"/>
          <a:lstStyle/>
          <a:p>
            <a:pPr>
              <a:defRPr lang="zh-CN" sz="900" b="0" i="0" u="none" strike="noStrike" kern="1200" cap="all" baseline="0">
                <a:solidFill>
                  <a:schemeClr val="dk1">
                    <a:lumMod val="75000"/>
                    <a:lumOff val="25000"/>
                  </a:schemeClr>
                </a:solidFill>
                <a:latin typeface="+mn-lt"/>
                <a:ea typeface="+mn-ea"/>
                <a:cs typeface="+mn-cs"/>
              </a:defRPr>
            </a:pPr>
          </a:p>
        </c:txPr>
        <c:crossAx val="331720161"/>
        <c:crosses val="autoZero"/>
        <c:auto val="true"/>
        <c:lblAlgn val="ctr"/>
        <c:lblOffset val="100"/>
        <c:noMultiLvlLbl val="false"/>
      </c:catAx>
      <c:valAx>
        <c:axId val="331720161"/>
        <c:scaling>
          <c:orientation val="minMax"/>
        </c:scaling>
        <c:delete val="true"/>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false"/>
              </a:gradFill>
              <a:round/>
            </a:ln>
            <a:effectLst/>
          </c:spPr>
        </c:majorGridlines>
        <c:numFmt formatCode="General" sourceLinked="true"/>
        <c:majorTickMark val="none"/>
        <c:minorTickMark val="none"/>
        <c:tickLblPos val="nextTo"/>
        <c:txPr>
          <a:bodyPr rot="-6000000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crossAx val="890344374"/>
        <c:crosses val="autoZero"/>
        <c:crossBetween val="between"/>
      </c:valAx>
      <c:spPr>
        <a:noFill/>
        <a:ln>
          <a:noFill/>
        </a:ln>
        <a:effectLst/>
      </c:spPr>
    </c:plotArea>
    <c:legend>
      <c:legendPos val="b"/>
      <c:layout/>
      <c:overlay val="false"/>
      <c:spPr>
        <a:solidFill>
          <a:schemeClr val="lt1">
            <a:lumMod val="95000"/>
            <a:alpha val="39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legend>
    <c:plotVisOnly val="true"/>
    <c:dispBlanksAs val="gap"/>
    <c:showDLblsOverMax val="false"/>
  </c:chart>
  <c: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一般公共预算财政拨款支出对比图</a:t>
            </a: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elete val="true"/>
          </c:dLbls>
          <c:cat>
            <c:strRef>
              <c:f>'[新建 XLSX 工作表.xlsx]Sheet4'!$A$2:$A$3</c:f>
              <c:strCache>
                <c:ptCount val="2"/>
                <c:pt idx="0">
                  <c:v>2023年</c:v>
                </c:pt>
                <c:pt idx="1">
                  <c:v>2024年</c:v>
                </c:pt>
              </c:strCache>
            </c:strRef>
          </c:cat>
          <c:val>
            <c:numRef>
              <c:f>'[新建 XLSX 工作表.xlsx]Sheet4'!$B$2:$B$3</c:f>
              <c:numCache>
                <c:formatCode>General</c:formatCode>
                <c:ptCount val="2"/>
                <c:pt idx="0">
                  <c:v>30277.56</c:v>
                </c:pt>
                <c:pt idx="1">
                  <c:v>32885.34</c:v>
                </c:pt>
              </c:numCache>
            </c:numRef>
          </c:val>
        </c:ser>
        <c:dLbls>
          <c:showLegendKey val="false"/>
          <c:showVal val="false"/>
          <c:showCatName val="false"/>
          <c:showSerName val="false"/>
          <c:showPercent val="false"/>
          <c:showBubbleSize val="false"/>
        </c:dLbls>
        <c:gapWidth val="219"/>
        <c:overlap val="-27"/>
        <c:axId val="634928431"/>
        <c:axId val="422860857"/>
      </c:barChart>
      <c:catAx>
        <c:axId val="634928431"/>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22860857"/>
        <c:crosses val="autoZero"/>
        <c:auto val="true"/>
        <c:lblAlgn val="ctr"/>
        <c:lblOffset val="100"/>
        <c:noMultiLvlLbl val="false"/>
      </c:catAx>
      <c:valAx>
        <c:axId val="422860857"/>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34928431"/>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baseline="0">
                <a:solidFill>
                  <a:schemeClr val="dk1">
                    <a:lumMod val="75000"/>
                    <a:lumOff val="25000"/>
                  </a:schemeClr>
                </a:solidFill>
                <a:latin typeface="+mn-lt"/>
                <a:ea typeface="+mn-ea"/>
                <a:cs typeface="+mn-cs"/>
              </a:defRPr>
            </a:pPr>
            <a:r>
              <a:t>一般公共预算财政拨款支出</a:t>
            </a:r>
          </a:p>
        </c:rich>
      </c:tx>
      <c:layout>
        <c:manualLayout>
          <c:xMode val="edge"/>
          <c:yMode val="edge"/>
          <c:x val="0.132222222222222"/>
          <c:y val="0.03125"/>
        </c:manualLayout>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a:noFill/>
              </a:ln>
              <a:effectLst>
                <a:outerShdw blurRad="254000" sx="102000" sy="102000" algn="ctr" rotWithShape="0">
                  <a:prstClr val="black">
                    <a:alpha val="20000"/>
                  </a:prstClr>
                </a:outerShdw>
              </a:effectLst>
            </c:spPr>
          </c:dPt>
          <c:dPt>
            <c:idx val="1"/>
            <c:bubble3D val="false"/>
            <c:spPr>
              <a:solidFill>
                <a:schemeClr val="accent2"/>
              </a:solidFill>
              <a:ln>
                <a:noFill/>
              </a:ln>
              <a:effectLst>
                <a:outerShdw blurRad="254000" sx="102000" sy="102000" algn="ctr" rotWithShape="0">
                  <a:prstClr val="black">
                    <a:alpha val="20000"/>
                  </a:prstClr>
                </a:outerShdw>
              </a:effectLst>
            </c:spPr>
          </c:dPt>
          <c:dPt>
            <c:idx val="2"/>
            <c:bubble3D val="false"/>
            <c:spPr>
              <a:solidFill>
                <a:schemeClr val="accent3"/>
              </a:solidFill>
              <a:ln>
                <a:noFill/>
              </a:ln>
              <a:effectLst>
                <a:outerShdw blurRad="254000" sx="102000" sy="102000" algn="ctr" rotWithShape="0">
                  <a:prstClr val="black">
                    <a:alpha val="20000"/>
                  </a:prstClr>
                </a:outerShdw>
              </a:effectLst>
            </c:spPr>
          </c:dPt>
          <c:dPt>
            <c:idx val="3"/>
            <c:bubble3D val="false"/>
            <c:spPr>
              <a:solidFill>
                <a:schemeClr val="accent4"/>
              </a:solidFill>
              <a:ln>
                <a:noFill/>
              </a:ln>
              <a:effectLst>
                <a:outerShdw blurRad="254000" sx="102000" sy="102000" algn="ctr" rotWithShape="0">
                  <a:prstClr val="black">
                    <a:alpha val="20000"/>
                  </a:prstClr>
                </a:outerShdw>
              </a:effectLst>
            </c:spPr>
          </c:dPt>
          <c:dPt>
            <c:idx val="4"/>
            <c:bubble3D val="false"/>
            <c:spPr>
              <a:solidFill>
                <a:schemeClr val="accent5"/>
              </a:solidFill>
              <a:ln>
                <a:noFill/>
              </a:ln>
              <a:effectLst>
                <a:outerShdw blurRad="254000" sx="102000" sy="102000" algn="ctr" rotWithShape="0">
                  <a:prstClr val="black">
                    <a:alpha val="20000"/>
                  </a:prstClr>
                </a:outerShdw>
              </a:effectLst>
            </c:spPr>
          </c:dPt>
          <c:dPt>
            <c:idx val="5"/>
            <c:bubble3D val="false"/>
            <c:spPr>
              <a:solidFill>
                <a:schemeClr val="accent6"/>
              </a:solidFill>
              <a:ln>
                <a:noFill/>
              </a:ln>
              <a:effectLst>
                <a:outerShdw blurRad="254000" sx="102000" sy="102000" algn="ctr" rotWithShape="0">
                  <a:prstClr val="black">
                    <a:alpha val="20000"/>
                  </a:prstClr>
                </a:outerShdw>
              </a:effectLst>
            </c:spPr>
          </c:dPt>
          <c:dPt>
            <c:idx val="6"/>
            <c:bubble3D val="false"/>
            <c:spPr>
              <a:solidFill>
                <a:schemeClr val="accent1">
                  <a:lumMod val="60000"/>
                </a:schemeClr>
              </a:solidFill>
              <a:ln>
                <a:noFill/>
              </a:ln>
              <a:effectLst>
                <a:outerShdw blurRad="254000" sx="102000" sy="102000" algn="ctr" rotWithShape="0">
                  <a:prstClr val="black">
                    <a:alpha val="20000"/>
                  </a:prstClr>
                </a:outerShdw>
              </a:effectLst>
            </c:spPr>
          </c:dPt>
          <c:dPt>
            <c:idx val="7"/>
            <c:bubble3D val="false"/>
            <c:spPr>
              <a:solidFill>
                <a:schemeClr val="accent2">
                  <a:lumMod val="60000"/>
                </a:schemeClr>
              </a:solidFill>
              <a:ln>
                <a:noFill/>
              </a:ln>
              <a:effectLst>
                <a:outerShdw blurRad="254000" sx="102000" sy="102000" algn="ctr" rotWithShape="0">
                  <a:prstClr val="black">
                    <a:alpha val="20000"/>
                  </a:prstClr>
                </a:outerShdw>
              </a:effectLst>
            </c:spPr>
          </c:dPt>
          <c:dPt>
            <c:idx val="8"/>
            <c:bubble3D val="false"/>
            <c:spPr>
              <a:solidFill>
                <a:schemeClr val="accent3">
                  <a:lumMod val="60000"/>
                </a:schemeClr>
              </a:solidFill>
              <a:ln>
                <a:noFill/>
              </a:ln>
              <a:effectLst>
                <a:outerShdw blurRad="254000" sx="102000" sy="102000" algn="ctr" rotWithShape="0">
                  <a:prstClr val="black">
                    <a:alpha val="20000"/>
                  </a:prstClr>
                </a:outerShdw>
              </a:effectLst>
            </c:spPr>
          </c:dPt>
          <c:dPt>
            <c:idx val="9"/>
            <c:bubble3D val="false"/>
            <c:spPr>
              <a:solidFill>
                <a:schemeClr val="accent4">
                  <a:lumMod val="60000"/>
                </a:schemeClr>
              </a:solidFill>
              <a:ln>
                <a:noFill/>
              </a:ln>
              <a:effectLst>
                <a:outerShdw blurRad="254000" sx="102000" sy="102000" algn="ctr" rotWithShape="0">
                  <a:prstClr val="black">
                    <a:alpha val="20000"/>
                  </a:prstClr>
                </a:outerShdw>
              </a:effectLst>
            </c:spPr>
          </c:dPt>
          <c:dPt>
            <c:idx val="10"/>
            <c:bubble3D val="false"/>
            <c:spPr>
              <a:solidFill>
                <a:schemeClr val="accent5">
                  <a:lumMod val="60000"/>
                </a:schemeClr>
              </a:solidFill>
              <a:ln>
                <a:noFill/>
              </a:ln>
              <a:effectLst>
                <a:outerShdw blurRad="254000" sx="102000" sy="102000" algn="ctr" rotWithShape="0">
                  <a:prstClr val="black">
                    <a:alpha val="20000"/>
                  </a:prstClr>
                </a:outerShdw>
              </a:effectLst>
            </c:spPr>
          </c:dPt>
          <c:dPt>
            <c:idx val="11"/>
            <c:bubble3D val="false"/>
            <c:spPr>
              <a:solidFill>
                <a:schemeClr val="accent6">
                  <a:lumMod val="60000"/>
                </a:schemeClr>
              </a:solidFill>
              <a:ln>
                <a:noFill/>
              </a:ln>
              <a:effectLst>
                <a:outerShdw blurRad="254000" sx="102000" sy="102000" algn="ctr" rotWithShape="0">
                  <a:prstClr val="black">
                    <a:alpha val="20000"/>
                  </a:prstClr>
                </a:outerShdw>
              </a:effectLst>
            </c:spPr>
          </c:dPt>
          <c:dPt>
            <c:idx val="12"/>
            <c:bubble3D val="false"/>
            <c:spPr>
              <a:solidFill>
                <a:schemeClr val="accent1">
                  <a:lumMod val="80000"/>
                  <a:lumOff val="20000"/>
                </a:schemeClr>
              </a:solidFill>
              <a:ln>
                <a:noFill/>
              </a:ln>
              <a:effectLst>
                <a:outerShdw blurRad="254000" sx="102000" sy="102000" algn="ctr" rotWithShape="0">
                  <a:prstClr val="black">
                    <a:alpha val="20000"/>
                  </a:prstClr>
                </a:outerShdw>
              </a:effectLst>
            </c:spPr>
          </c:dPt>
          <c:dPt>
            <c:idx val="13"/>
            <c:bubble3D val="false"/>
            <c:spPr>
              <a:solidFill>
                <a:schemeClr val="accent2">
                  <a:lumMod val="80000"/>
                  <a:lumOff val="20000"/>
                </a:schemeClr>
              </a:solidFill>
              <a:ln>
                <a:noFill/>
              </a:ln>
              <a:effectLst>
                <a:outerShdw blurRad="254000" sx="102000" sy="102000" algn="ctr" rotWithShape="0">
                  <a:prstClr val="black">
                    <a:alpha val="20000"/>
                  </a:prstClr>
                </a:outerShdw>
              </a:effectLst>
            </c:spPr>
          </c:dPt>
          <c:dPt>
            <c:idx val="14"/>
            <c:bubble3D val="false"/>
            <c:spPr>
              <a:solidFill>
                <a:schemeClr val="accent3">
                  <a:lumMod val="80000"/>
                  <a:lumOff val="20000"/>
                </a:schemeClr>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true"/>
              <a:lstStyle/>
              <a:p>
                <a:pPr>
                  <a:defRPr lang="zh-CN" sz="1000" b="1" i="0" u="none" strike="noStrike" kern="1200" baseline="0">
                    <a:solidFill>
                      <a:schemeClr val="lt1"/>
                    </a:solidFill>
                    <a:latin typeface="+mn-lt"/>
                    <a:ea typeface="+mn-ea"/>
                    <a:cs typeface="+mn-cs"/>
                  </a:defRPr>
                </a:pPr>
              </a:p>
            </c:txPr>
            <c:dLblPos val="ctr"/>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a:solidFill>
                        <a:schemeClr val="dk1">
                          <a:lumMod val="50000"/>
                          <a:lumOff val="50000"/>
                        </a:schemeClr>
                      </a:solidFill>
                    </a:ln>
                    <a:effectLst/>
                  </c:spPr>
                </c15:leaderLines>
              </c:ext>
            </c:extLst>
          </c:dLbls>
          <c:cat>
            <c:strRef>
              <c:f>'[新建 XLSX 工作表.xlsx]Sheet5'!$E$3:$E$17</c:f>
              <c:strCache>
                <c:ptCount val="15"/>
                <c:pt idx="0">
                  <c:v>一般公共服务支出</c:v>
                </c:pt>
                <c:pt idx="1">
                  <c:v>公共安全支出</c:v>
                </c:pt>
                <c:pt idx="2">
                  <c:v>教育支出</c:v>
                </c:pt>
                <c:pt idx="3">
                  <c:v>科学技术支出</c:v>
                </c:pt>
                <c:pt idx="4">
                  <c:v>社会保障和就业支出</c:v>
                </c:pt>
                <c:pt idx="5">
                  <c:v>节能环保支出</c:v>
                </c:pt>
                <c:pt idx="6">
                  <c:v>城乡社区支出</c:v>
                </c:pt>
                <c:pt idx="7">
                  <c:v>农林水支出</c:v>
                </c:pt>
                <c:pt idx="8">
                  <c:v>交通运输支出</c:v>
                </c:pt>
                <c:pt idx="9">
                  <c:v>资源勘探工业信息等支出</c:v>
                </c:pt>
                <c:pt idx="10">
                  <c:v>商业服务业等支出</c:v>
                </c:pt>
                <c:pt idx="11">
                  <c:v>自然资源海洋气象等支出</c:v>
                </c:pt>
                <c:pt idx="12">
                  <c:v>住房保障支出</c:v>
                </c:pt>
                <c:pt idx="13">
                  <c:v>灾害防治及应急管理支出</c:v>
                </c:pt>
                <c:pt idx="14">
                  <c:v>其他支出</c:v>
                </c:pt>
              </c:strCache>
            </c:strRef>
          </c:cat>
          <c:val>
            <c:numRef>
              <c:f>'[新建 XLSX 工作表.xlsx]Sheet5'!$F$3:$F$17</c:f>
              <c:numCache>
                <c:formatCode>General</c:formatCode>
                <c:ptCount val="15"/>
                <c:pt idx="0">
                  <c:v>4661</c:v>
                </c:pt>
                <c:pt idx="1">
                  <c:v>4</c:v>
                </c:pt>
                <c:pt idx="2">
                  <c:v>237.06</c:v>
                </c:pt>
                <c:pt idx="3">
                  <c:v>658.56</c:v>
                </c:pt>
                <c:pt idx="4">
                  <c:v>392.88</c:v>
                </c:pt>
                <c:pt idx="5">
                  <c:v>3136.11</c:v>
                </c:pt>
                <c:pt idx="6">
                  <c:v>11300.59</c:v>
                </c:pt>
                <c:pt idx="7">
                  <c:v>177.96</c:v>
                </c:pt>
                <c:pt idx="8">
                  <c:v>3932.63</c:v>
                </c:pt>
                <c:pt idx="9">
                  <c:v>2531.9</c:v>
                </c:pt>
                <c:pt idx="10">
                  <c:v>109.38</c:v>
                </c:pt>
                <c:pt idx="11">
                  <c:v>29.54</c:v>
                </c:pt>
                <c:pt idx="12">
                  <c:v>1693.64</c:v>
                </c:pt>
                <c:pt idx="13">
                  <c:v>3910.09</c:v>
                </c:pt>
                <c:pt idx="14">
                  <c:v>110</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overlay val="false"/>
      <c:spPr>
        <a:solidFill>
          <a:schemeClr val="lt1">
            <a:lumMod val="95000"/>
            <a:alpha val="39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legend>
    <c:plotVisOnly val="true"/>
    <c:dispBlanksAs val="gap"/>
    <c:showDLblsOverMax val="false"/>
  </c:chart>
  <c: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baseline="0">
                <a:solidFill>
                  <a:schemeClr val="dk1">
                    <a:lumMod val="75000"/>
                    <a:lumOff val="25000"/>
                  </a:schemeClr>
                </a:solidFill>
                <a:latin typeface="+mn-lt"/>
                <a:ea typeface="+mn-ea"/>
                <a:cs typeface="+mn-cs"/>
              </a:defRPr>
            </a:pPr>
            <a:r>
              <a:t>“三公”经费财政拨款支出</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a:noFill/>
              </a:ln>
              <a:effectLst>
                <a:outerShdw blurRad="254000" sx="102000" sy="102000" algn="ctr" rotWithShape="0">
                  <a:prstClr val="black">
                    <a:alpha val="20000"/>
                  </a:prstClr>
                </a:outerShdw>
              </a:effectLst>
            </c:spPr>
          </c:dPt>
          <c:dPt>
            <c:idx val="1"/>
            <c:bubble3D val="false"/>
            <c:spPr>
              <a:solidFill>
                <a:schemeClr val="accent2"/>
              </a:solidFill>
              <a:ln>
                <a:noFill/>
              </a:ln>
              <a:effectLst>
                <a:outerShdw blurRad="254000" sx="102000" sy="102000" algn="ctr" rotWithShape="0">
                  <a:prstClr val="black">
                    <a:alpha val="20000"/>
                  </a:prstClr>
                </a:outerShdw>
              </a:effectLst>
            </c:spPr>
          </c:dPt>
          <c:dPt>
            <c:idx val="2"/>
            <c:bubble3D val="false"/>
            <c:spPr>
              <a:solidFill>
                <a:schemeClr val="accent3"/>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true"/>
              <a:lstStyle/>
              <a:p>
                <a:pPr>
                  <a:defRPr lang="zh-CN" sz="1000" b="1" i="0" u="none" strike="noStrike" kern="1200" baseline="0">
                    <a:solidFill>
                      <a:schemeClr val="lt1"/>
                    </a:solidFill>
                    <a:latin typeface="+mn-lt"/>
                    <a:ea typeface="+mn-ea"/>
                    <a:cs typeface="+mn-cs"/>
                  </a:defRPr>
                </a:pPr>
              </a:p>
            </c:txPr>
            <c:dLblPos val="ctr"/>
            <c:showLegendKey val="false"/>
            <c:showVal val="tru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a:solidFill>
                        <a:schemeClr val="dk1">
                          <a:lumMod val="50000"/>
                          <a:lumOff val="50000"/>
                        </a:schemeClr>
                      </a:solidFill>
                    </a:ln>
                    <a:effectLst/>
                  </c:spPr>
                </c15:leaderLines>
              </c:ext>
            </c:extLst>
          </c:dLbls>
          <c:cat>
            <c:strRef>
              <c:f>'[新建 XLSX 工作表.xlsx]Sheet6'!$D$3:$D$5</c:f>
              <c:strCache>
                <c:ptCount val="3"/>
                <c:pt idx="0">
                  <c:v>因公出国（境）费支出</c:v>
                </c:pt>
                <c:pt idx="1">
                  <c:v>公务用车购置及运行维护费支出</c:v>
                </c:pt>
                <c:pt idx="2">
                  <c:v>公务接待费支出</c:v>
                </c:pt>
              </c:strCache>
            </c:strRef>
          </c:cat>
          <c:val>
            <c:numRef>
              <c:f>'[新建 XLSX 工作表.xlsx]Sheet6'!$E$3:$E$5</c:f>
              <c:numCache>
                <c:formatCode>General</c:formatCode>
                <c:ptCount val="3"/>
                <c:pt idx="0">
                  <c:v>6.48</c:v>
                </c:pt>
                <c:pt idx="1">
                  <c:v>13.66</c:v>
                </c:pt>
                <c:pt idx="2">
                  <c:v>4.43</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overlay val="false"/>
      <c:spPr>
        <a:solidFill>
          <a:schemeClr val="lt1">
            <a:lumMod val="95000"/>
            <a:alpha val="39000"/>
          </a:schemeClr>
        </a:solidFill>
        <a:ln>
          <a:noFill/>
        </a:ln>
        <a:effectLst/>
      </c:spPr>
      <c:txPr>
        <a:bodyPr rot="0" spcFirstLastPara="0"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legend>
    <c:plotVisOnly val="true"/>
    <c:dispBlanksAs val="gap"/>
    <c:showDLblsOverMax val="false"/>
  </c:chart>
  <c: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false"/>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false"/>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false"/>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false"/>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false"/>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false"/>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false"/>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false"/>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false"/>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false"/>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37</Pages>
  <Words>12517</Words>
  <Characters>13850</Characters>
  <Lines>61</Lines>
  <Paragraphs>17</Paragraphs>
  <TotalTime>6</TotalTime>
  <ScaleCrop>false</ScaleCrop>
  <LinksUpToDate>false</LinksUpToDate>
  <CharactersWithSpaces>14097</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user</cp:lastModifiedBy>
  <cp:lastPrinted>2025-08-07T01:34:00Z</cp:lastPrinted>
  <dcterms:modified xsi:type="dcterms:W3CDTF">2025-09-11T13:25:37Z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04787F2533EB45DC91BCDE4AB213247F</vt:lpwstr>
  </property>
</Properties>
</file>