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8441"/>
      <w:bookmarkStart w:id="3" w:name="_Toc15377193"/>
      <w:bookmarkStart w:id="4" w:name="_Toc15306267"/>
      <w:bookmarkStart w:id="5" w:name="_Toc1537742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r>
        <w:rPr>
          <w:rFonts w:hint="eastAsia" w:ascii="方正小标宋简体" w:hAnsi="方正小标宋简体" w:eastAsia="方正小标宋简体" w:cs="方正小标宋简体"/>
          <w:sz w:val="52"/>
          <w:szCs w:val="52"/>
          <w:lang w:eastAsia="zh-CN"/>
        </w:rPr>
        <w:t>钒钛高新区管委会</w:t>
      </w:r>
    </w:p>
    <w:p>
      <w:pPr>
        <w:adjustRightInd w:val="0"/>
        <w:snapToGrid w:val="0"/>
        <w:spacing w:line="360" w:lineRule="auto"/>
        <w:jc w:val="center"/>
        <w:outlineLvl w:val="0"/>
        <w:rPr>
          <w:rFonts w:hint="eastAsia" w:ascii="Times New Roman" w:hAnsi="Times New Roman" w:eastAsia="方正小标宋简体"/>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52"/>
          <w:szCs w:val="52"/>
          <w:lang w:eastAsia="zh-CN"/>
        </w:rPr>
        <w:t>单位决算公开编制说明</w:t>
      </w:r>
      <w:r>
        <w:rPr>
          <w:rFonts w:hint="eastAsia" w:ascii="方正小标宋简体" w:hAnsi="方正小标宋简体" w:eastAsia="方正小标宋简体" w:cs="方正小标宋简体"/>
          <w:sz w:val="52"/>
          <w:szCs w:val="52"/>
          <w:lang w:val="en-US" w:eastAsia="zh-CN"/>
        </w:rPr>
        <w:t xml:space="preserve"> </w:t>
      </w:r>
    </w:p>
    <w:bookmarkEnd w:id="0"/>
    <w:bookmarkEnd w:id="1"/>
    <w:bookmarkEnd w:id="2"/>
    <w:bookmarkEnd w:id="3"/>
    <w:bookmarkEnd w:id="4"/>
    <w:bookmarkEnd w:id="5"/>
    <w:p>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default" w:ascii="Times New Roman" w:hAnsi="Times New Roman" w:eastAsia="仿宋_GB2312" w:cs="仿宋_GB2312"/>
          <w:color w:val="auto"/>
          <w:sz w:val="32"/>
          <w:szCs w:val="32"/>
          <w:highlight w:val="none"/>
          <w:lang w:val="en"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default" w:ascii="Times New Roman" w:hAnsi="Times New Roman" w:eastAsia="仿宋_GB2312" w:cs="仿宋_GB2312"/>
          <w:color w:val="auto"/>
          <w:sz w:val="32"/>
          <w:szCs w:val="32"/>
          <w:highlight w:val="none"/>
          <w:lang w:val="en" w:eastAsia="zh-CN"/>
        </w:rPr>
        <w:t>9</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default" w:ascii="Times New Roman" w:hAnsi="Times New Roman" w:eastAsia="仿宋_GB2312" w:cs="仿宋_GB2312"/>
          <w:color w:val="auto"/>
          <w:sz w:val="32"/>
          <w:szCs w:val="32"/>
          <w:highlight w:val="none"/>
          <w:lang w:val="en"/>
        </w:rPr>
        <w:t>18</w:t>
      </w:r>
      <w:bookmarkStart w:id="61" w:name="_GoBack"/>
      <w:bookmarkEnd w:id="61"/>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4"/>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主要职能。</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（一）贯彻执行党的路线、方针、政策和国家的法律、法规，贯彻落实市委、市政府的重要决策。</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（二）负责钒钛高新区党的建设、组织建设、党风廉政建设、精神文明建设和意识形态、对外宣传、群团等工作。负责钒钛高新区领导班子建设、干部队伍建设和人事人才管理工作。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（三）负责拟订钒钛高新区经济社会发展总体规划。参与钒钛高新区的规划编制、实施等工作。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（四）负责拟订钒钛高新区产业发展、对外开放、经济合作的政策。负责钒钛高新区统计、经济运行、投资促进等工作。负责招商引资、对外经济合作事项以及园区入驻企业（项目）的协调服务。</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（五）负责钒钛高新区的开发建设。负责钒钛高新区规划范围内的土地征收、拆迁安置等工作的协调。负责管理区域内社会事业的建设和管理。</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（六）受市政府委托，在管理区域内行使相关行政管理职能。承担权限范围内行政执法工作。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（七）履行钒钛高新区的财政管理，负责财政金融政策落实及国有资产管理工作。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（八）负责推进科技创新、产学研合作、科技成果转化等工作。负责引进国（境）外人才、智力工作及科技人才队伍建设工作。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（九）负责权限范围内的安全生产和职业健康、生态环境保护、审批服务便民化等工作。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（十）受市政府委托，管理相关乡镇和村（社区）及村民（居民）小组。</w:t>
      </w:r>
    </w:p>
    <w:p>
      <w:pPr>
        <w:numPr>
          <w:ilvl w:val="0"/>
          <w:numId w:val="0"/>
        </w:numPr>
        <w:rPr>
          <w:rFonts w:hint="eastAsia"/>
          <w:lang w:eastAsia="zh-CN"/>
        </w:rPr>
      </w:pPr>
      <w:r>
        <w:rPr>
          <w:rFonts w:hint="eastAsia" w:ascii="仿宋_GB2312" w:hAnsi="仿宋" w:eastAsia="仿宋_GB2312"/>
          <w:color w:val="000000" w:themeColor="text1"/>
          <w:sz w:val="32"/>
          <w:szCs w:val="32"/>
          <w:highlight w:val="none"/>
          <w14:textFill>
            <w14:solidFill>
              <w14:schemeClr w14:val="tx1"/>
            </w14:solidFill>
          </w14:textFill>
        </w:rPr>
        <w:t>（十一）完成市委、市政府交办的其他任务。</w:t>
      </w:r>
    </w:p>
    <w:p>
      <w:pPr>
        <w:pStyle w:val="5"/>
        <w:rPr>
          <w:rStyle w:val="31"/>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四川省攀枝花钒钛高新技术产业开发区管理委员会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widowControl/>
        <w:ind w:firstLine="640" w:firstLineChars="200"/>
        <w:jc w:val="left"/>
        <w:rPr>
          <w:rFonts w:ascii="Times New Roman" w:hAnsi="Times New Roman" w:eastAsia="仿宋"/>
          <w:color w:val="auto"/>
          <w:kern w:val="0"/>
          <w:sz w:val="32"/>
          <w:szCs w:val="32"/>
          <w:highlight w:val="none"/>
        </w:rPr>
      </w:pPr>
      <w:r>
        <w:rPr>
          <w:rFonts w:hint="eastAsia" w:ascii="仿宋_GB2312" w:hAnsi="仿宋_GB2312" w:eastAsia="仿宋_GB2312" w:cs="仿宋_GB2312"/>
          <w:sz w:val="32"/>
          <w:szCs w:val="32"/>
          <w:lang w:val="en-US" w:eastAsia="zh-CN"/>
        </w:rPr>
        <w:t>管委会内设：综合办公室、党群工作部（统战部）、科技创新和经济发展局、经济合作局、自然资源和建设管理局、综合行政执法局、应急管理局、社会管理局。</w:t>
      </w:r>
      <w:r>
        <w:rPr>
          <w:rFonts w:ascii="Times New Roman" w:hAnsi="Times New Roman" w:eastAsia="仿宋"/>
          <w:color w:val="auto"/>
          <w:sz w:val="32"/>
          <w:szCs w:val="32"/>
          <w:highlight w:val="none"/>
        </w:rPr>
        <w:br w:type="page"/>
      </w:r>
    </w:p>
    <w:p>
      <w:pPr>
        <w:pStyle w:val="4"/>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项目支出减少。</w:t>
      </w:r>
    </w:p>
    <w:p>
      <w:pPr>
        <w:pStyle w:val="2"/>
        <w:jc w:val="center"/>
        <w:rPr>
          <w:rFonts w:hint="eastAsia" w:ascii="仿宋" w:hAnsi="仿宋" w:eastAsia="仿宋" w:cs="仿宋"/>
          <w:sz w:val="32"/>
          <w:szCs w:val="32"/>
        </w:rPr>
      </w:pPr>
      <w:r>
        <w:drawing>
          <wp:inline distT="0" distB="0" distL="114300" distR="114300">
            <wp:extent cx="4572000" cy="34950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36459.02万元，其中：一般公共预算财政拨款收入32885.34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3573.68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27855" cy="3209290"/>
            <wp:effectExtent l="4445" t="5080" r="6350"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36459.02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2812.21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33646.81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92.28</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项目支出减少。</w:t>
      </w:r>
    </w:p>
    <w:p>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3495040"/>
            <wp:effectExtent l="4445" t="4445" r="14605" b="571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1"/>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90.19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%。与2023年度相比，一般公共预算财政拨款支出增加2607.78万元，增8.61%。主要变动原因是项目费用增加。</w:t>
      </w:r>
    </w:p>
    <w:p>
      <w:pPr>
        <w:rPr>
          <w:rFonts w:hint="eastAsia"/>
          <w:lang w:val="en-US" w:eastAsia="zh-CN"/>
        </w:rPr>
      </w:pPr>
    </w:p>
    <w:p>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一般公共服务支出4661万元，占</w:t>
      </w:r>
      <w:r>
        <w:rPr>
          <w:rFonts w:hint="eastAsia" w:eastAsia="仿宋_GB2312" w:cs="仿宋_GB2312"/>
          <w:color w:val="auto"/>
          <w:kern w:val="2"/>
          <w:sz w:val="32"/>
          <w:szCs w:val="32"/>
          <w:highlight w:val="none"/>
          <w:lang w:val="en-US" w:eastAsia="zh-CN" w:bidi="ar-SA"/>
        </w:rPr>
        <w:t>14.17</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4万元，占0.01%；教育支出237.06万元，占0.72%；科学技术支出658.56万元，占2%；社会保障和就业支出392.88万元，占1.19%；节能环保支出3136.11万元，占9.54%；城乡社区支出11300.59万元，占34.36%；农林水支出177.96万元，占0.54%；交通运输支出3932.63万元，占11.96%；资源勘探工业信息等支出2531.9万元，占7.7%；商业服务业等支出109.38万元，占0.33%；自然资源海洋气象等支出29.54万元，占0.09%；住房保障支出1693.64万元，占5.15%；灾害防治及应急管理支出3910.09万元，占11.89%；其他110万元，占0.33%。</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r>
        <w:drawing>
          <wp:inline distT="0" distB="0" distL="114300" distR="114300">
            <wp:extent cx="5271770" cy="3006725"/>
            <wp:effectExtent l="5080" t="4445" r="19050" b="1778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一般公共服务支出2（类）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2.公共安全支出2（类）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教育支出2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科学技术支出2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658.56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社会保障和就业支出2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392.88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节能环保支出2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3136.11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eastAsia="仿宋_GB2312" w:cs="仿宋_GB2312"/>
          <w:color w:val="auto"/>
          <w:kern w:val="2"/>
          <w:sz w:val="32"/>
          <w:szCs w:val="32"/>
          <w:highlight w:val="none"/>
          <w:lang w:val="en-US" w:eastAsia="zh-CN" w:bidi="ar-SA"/>
        </w:rPr>
        <w:t>城乡社区支出2</w:t>
      </w:r>
      <w:r>
        <w:rPr>
          <w:rFonts w:hint="eastAsia" w:ascii="Times New Roman" w:hAnsi="Times New Roman" w:eastAsia="仿宋_GB2312" w:cs="仿宋_GB2312"/>
          <w:color w:val="auto"/>
          <w:kern w:val="2"/>
          <w:sz w:val="32"/>
          <w:szCs w:val="32"/>
          <w:highlight w:val="none"/>
          <w:lang w:val="en-US" w:eastAsia="zh-CN" w:bidi="ar-SA"/>
        </w:rPr>
        <w:t>（类）1（款）2（项）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11300.59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w:t>
      </w:r>
      <w:r>
        <w:rPr>
          <w:rFonts w:hint="eastAsia" w:eastAsia="仿宋_GB2312" w:cs="仿宋_GB2312"/>
          <w:color w:val="auto"/>
          <w:kern w:val="2"/>
          <w:sz w:val="32"/>
          <w:szCs w:val="32"/>
          <w:highlight w:val="none"/>
          <w:lang w:val="en-US" w:eastAsia="zh-CN" w:bidi="ar-SA"/>
        </w:rPr>
        <w:t>农林水支出2</w:t>
      </w:r>
      <w:r>
        <w:rPr>
          <w:rFonts w:hint="eastAsia" w:ascii="Times New Roman" w:hAnsi="Times New Roman" w:eastAsia="仿宋_GB2312" w:cs="仿宋_GB2312"/>
          <w:color w:val="auto"/>
          <w:kern w:val="2"/>
          <w:sz w:val="32"/>
          <w:szCs w:val="32"/>
          <w:highlight w:val="none"/>
          <w:lang w:val="en-US" w:eastAsia="zh-CN" w:bidi="ar-SA"/>
        </w:rPr>
        <w:t>（类）1（款）3（项）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177.96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交通运输支出2</w:t>
      </w:r>
      <w:r>
        <w:rPr>
          <w:rFonts w:hint="eastAsia" w:ascii="Times New Roman" w:hAnsi="Times New Roman" w:eastAsia="仿宋_GB2312" w:cs="仿宋_GB2312"/>
          <w:color w:val="auto"/>
          <w:kern w:val="2"/>
          <w:sz w:val="32"/>
          <w:szCs w:val="32"/>
          <w:highlight w:val="none"/>
          <w:lang w:val="en-US" w:eastAsia="zh-CN" w:bidi="ar-SA"/>
        </w:rPr>
        <w:t>（类）1（款）4（项）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3932.63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10.资源勘探工业信息等支出2（类）1（款）5（项）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2531.9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商业服务业等支出2</w:t>
      </w:r>
      <w:r>
        <w:rPr>
          <w:rFonts w:hint="eastAsia" w:ascii="Times New Roman" w:hAnsi="Times New Roman" w:eastAsia="仿宋_GB2312" w:cs="仿宋_GB2312"/>
          <w:color w:val="auto"/>
          <w:kern w:val="2"/>
          <w:sz w:val="32"/>
          <w:szCs w:val="32"/>
          <w:highlight w:val="none"/>
          <w:lang w:val="en-US" w:eastAsia="zh-CN" w:bidi="ar-SA"/>
        </w:rPr>
        <w:t>（类）1（款）6（项）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109.38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自然资源海洋气象等支出2</w:t>
      </w:r>
      <w:r>
        <w:rPr>
          <w:rFonts w:hint="eastAsia" w:ascii="Times New Roman" w:hAnsi="Times New Roman" w:eastAsia="仿宋_GB2312" w:cs="仿宋_GB2312"/>
          <w:color w:val="auto"/>
          <w:kern w:val="2"/>
          <w:sz w:val="32"/>
          <w:szCs w:val="32"/>
          <w:highlight w:val="none"/>
          <w:lang w:val="en-US" w:eastAsia="zh-CN" w:bidi="ar-SA"/>
        </w:rPr>
        <w:t>（类）2（款）0（项）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eastAsia="仿宋_GB2312" w:cs="仿宋_GB2312"/>
          <w:color w:val="auto"/>
          <w:kern w:val="2"/>
          <w:sz w:val="32"/>
          <w:szCs w:val="32"/>
          <w:highlight w:val="none"/>
          <w:lang w:val="en-US" w:eastAsia="zh-CN" w:bidi="ar-SA"/>
        </w:rPr>
        <w:t>住房保障支出2</w:t>
      </w:r>
      <w:r>
        <w:rPr>
          <w:rFonts w:hint="eastAsia" w:ascii="Times New Roman" w:hAnsi="Times New Roman" w:eastAsia="仿宋_GB2312" w:cs="仿宋_GB2312"/>
          <w:color w:val="auto"/>
          <w:kern w:val="2"/>
          <w:sz w:val="32"/>
          <w:szCs w:val="32"/>
          <w:highlight w:val="none"/>
          <w:lang w:val="en-US" w:eastAsia="zh-CN" w:bidi="ar-SA"/>
        </w:rPr>
        <w:t>（类）2（款）1（项）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1693.64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Fonts w:hint="eastAsia" w:eastAsia="仿宋_GB2312" w:cs="仿宋_GB2312"/>
          <w:color w:val="auto"/>
          <w:kern w:val="2"/>
          <w:sz w:val="32"/>
          <w:szCs w:val="32"/>
          <w:highlight w:val="none"/>
          <w:lang w:val="en-US" w:eastAsia="zh-CN" w:bidi="ar-SA"/>
        </w:rPr>
        <w:t>灾害防治及应急管理支出2</w:t>
      </w:r>
      <w:r>
        <w:rPr>
          <w:rFonts w:hint="eastAsia" w:ascii="Times New Roman" w:hAnsi="Times New Roman" w:eastAsia="仿宋_GB2312" w:cs="仿宋_GB2312"/>
          <w:color w:val="auto"/>
          <w:kern w:val="2"/>
          <w:sz w:val="32"/>
          <w:szCs w:val="32"/>
          <w:highlight w:val="none"/>
          <w:lang w:val="en-US" w:eastAsia="zh-CN" w:bidi="ar-SA"/>
        </w:rPr>
        <w:t>（类）2（款）4（项）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3910.09</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其他支出2</w:t>
      </w:r>
      <w:r>
        <w:rPr>
          <w:rFonts w:hint="eastAsia" w:ascii="Times New Roman" w:hAnsi="Times New Roman" w:eastAsia="仿宋_GB2312" w:cs="仿宋_GB2312"/>
          <w:color w:val="auto"/>
          <w:kern w:val="2"/>
          <w:sz w:val="32"/>
          <w:szCs w:val="32"/>
          <w:highlight w:val="none"/>
          <w:lang w:val="en-US" w:eastAsia="zh-CN" w:bidi="ar-SA"/>
        </w:rPr>
        <w:t>（类）2（款）9（项）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pStyle w:val="2"/>
        <w:rPr>
          <w:rFonts w:hint="eastAsia"/>
          <w:lang w:val="en-US" w:eastAsia="zh-CN"/>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1"/>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2812.21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w:t>
      </w:r>
      <w:r>
        <w:rPr>
          <w:rFonts w:hint="eastAsia" w:eastAsia="仿宋_GB2312" w:cs="仿宋_GB2312"/>
          <w:color w:val="auto"/>
          <w:kern w:val="2"/>
          <w:sz w:val="32"/>
          <w:szCs w:val="32"/>
          <w:highlight w:val="none"/>
          <w:lang w:val="en-US" w:eastAsia="zh-CN" w:bidi="ar-SA"/>
        </w:rPr>
        <w:t>478.43万元</w:t>
      </w:r>
      <w:r>
        <w:rPr>
          <w:rFonts w:hint="eastAsia" w:ascii="Times New Roman" w:hAnsi="Times New Roman" w:eastAsia="仿宋_GB2312" w:cs="仿宋_GB2312"/>
          <w:color w:val="auto"/>
          <w:kern w:val="2"/>
          <w:sz w:val="32"/>
          <w:szCs w:val="32"/>
          <w:highlight w:val="none"/>
          <w:lang w:val="en-US" w:eastAsia="zh-CN" w:bidi="ar-SA"/>
        </w:rPr>
        <w:t>、津贴补贴</w:t>
      </w:r>
      <w:r>
        <w:rPr>
          <w:rFonts w:hint="eastAsia" w:eastAsia="仿宋_GB2312" w:cs="仿宋_GB2312"/>
          <w:color w:val="auto"/>
          <w:kern w:val="2"/>
          <w:sz w:val="32"/>
          <w:szCs w:val="32"/>
          <w:highlight w:val="none"/>
          <w:lang w:val="en-US" w:eastAsia="zh-CN" w:bidi="ar-SA"/>
        </w:rPr>
        <w:t>579.11万元</w:t>
      </w:r>
      <w:r>
        <w:rPr>
          <w:rFonts w:hint="eastAsia" w:ascii="Times New Roman" w:hAnsi="Times New Roman" w:eastAsia="仿宋_GB2312" w:cs="仿宋_GB2312"/>
          <w:color w:val="auto"/>
          <w:kern w:val="2"/>
          <w:sz w:val="32"/>
          <w:szCs w:val="32"/>
          <w:highlight w:val="none"/>
          <w:lang w:val="en-US" w:eastAsia="zh-CN" w:bidi="ar-SA"/>
        </w:rPr>
        <w:t>、奖金</w:t>
      </w:r>
      <w:r>
        <w:rPr>
          <w:rFonts w:hint="eastAsia" w:eastAsia="仿宋_GB2312" w:cs="仿宋_GB2312"/>
          <w:color w:val="auto"/>
          <w:kern w:val="2"/>
          <w:sz w:val="32"/>
          <w:szCs w:val="32"/>
          <w:highlight w:val="none"/>
          <w:lang w:val="en-US" w:eastAsia="zh-CN" w:bidi="ar-SA"/>
        </w:rPr>
        <w:t>441.15万元</w:t>
      </w:r>
      <w:r>
        <w:rPr>
          <w:rFonts w:hint="eastAsia" w:ascii="Times New Roman" w:hAnsi="Times New Roman" w:eastAsia="仿宋_GB2312" w:cs="仿宋_GB2312"/>
          <w:color w:val="auto"/>
          <w:kern w:val="2"/>
          <w:sz w:val="32"/>
          <w:szCs w:val="32"/>
          <w:highlight w:val="none"/>
          <w:lang w:val="en-US" w:eastAsia="zh-CN" w:bidi="ar-SA"/>
        </w:rPr>
        <w:t>、伙食补助费、绩效工资</w:t>
      </w:r>
      <w:r>
        <w:rPr>
          <w:rFonts w:hint="eastAsia" w:eastAsia="仿宋_GB2312" w:cs="仿宋_GB2312"/>
          <w:color w:val="auto"/>
          <w:kern w:val="2"/>
          <w:sz w:val="32"/>
          <w:szCs w:val="32"/>
          <w:highlight w:val="none"/>
          <w:lang w:val="en-US" w:eastAsia="zh-CN" w:bidi="ar-SA"/>
        </w:rPr>
        <w:t>196.88万元</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w:t>
      </w:r>
      <w:r>
        <w:rPr>
          <w:rFonts w:hint="eastAsia" w:eastAsia="仿宋_GB2312" w:cs="仿宋_GB2312"/>
          <w:color w:val="auto"/>
          <w:kern w:val="2"/>
          <w:sz w:val="32"/>
          <w:szCs w:val="32"/>
          <w:highlight w:val="none"/>
          <w:lang w:val="en-US" w:eastAsia="zh-CN" w:bidi="ar-SA"/>
        </w:rPr>
        <w:t>208.86万元</w:t>
      </w:r>
      <w:r>
        <w:rPr>
          <w:rFonts w:hint="eastAsia" w:ascii="Times New Roman" w:hAnsi="Times New Roman" w:eastAsia="仿宋_GB2312" w:cs="仿宋_GB2312"/>
          <w:color w:val="auto"/>
          <w:kern w:val="2"/>
          <w:sz w:val="32"/>
          <w:szCs w:val="32"/>
          <w:highlight w:val="none"/>
          <w:lang w:val="en-US" w:eastAsia="zh-CN" w:bidi="ar-SA"/>
        </w:rPr>
        <w:t>、职业年金缴费</w:t>
      </w:r>
      <w:r>
        <w:rPr>
          <w:rFonts w:hint="eastAsia" w:eastAsia="仿宋_GB2312" w:cs="仿宋_GB2312"/>
          <w:color w:val="auto"/>
          <w:kern w:val="2"/>
          <w:sz w:val="32"/>
          <w:szCs w:val="32"/>
          <w:highlight w:val="none"/>
          <w:lang w:val="en-US" w:eastAsia="zh-CN" w:bidi="ar-SA"/>
        </w:rPr>
        <w:t>95.12万元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基本医疗保险缴费113.2万元、公务员医疗缴费75.28万元、</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5.2万元</w:t>
      </w:r>
      <w:r>
        <w:rPr>
          <w:rFonts w:hint="eastAsia" w:ascii="Times New Roman" w:hAnsi="Times New Roman" w:eastAsia="仿宋_GB2312" w:cs="仿宋_GB2312"/>
          <w:color w:val="auto"/>
          <w:kern w:val="2"/>
          <w:sz w:val="32"/>
          <w:szCs w:val="32"/>
          <w:highlight w:val="none"/>
          <w:lang w:val="en-US" w:eastAsia="zh-CN" w:bidi="ar-SA"/>
        </w:rPr>
        <w:t>、其他工资福利支出</w:t>
      </w:r>
      <w:r>
        <w:rPr>
          <w:rFonts w:hint="eastAsia" w:eastAsia="仿宋_GB2312" w:cs="仿宋_GB2312"/>
          <w:color w:val="auto"/>
          <w:kern w:val="2"/>
          <w:sz w:val="32"/>
          <w:szCs w:val="32"/>
          <w:highlight w:val="none"/>
          <w:lang w:val="en-US" w:eastAsia="zh-CN" w:bidi="ar-SA"/>
        </w:rPr>
        <w:t>55.64万元</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eastAsia="仿宋_GB2312" w:cs="仿宋_GB2312"/>
          <w:color w:val="auto"/>
          <w:kern w:val="2"/>
          <w:sz w:val="32"/>
          <w:szCs w:val="32"/>
          <w:highlight w:val="none"/>
          <w:lang w:val="en-US" w:eastAsia="zh-CN" w:bidi="ar-SA"/>
        </w:rPr>
        <w:t>75.73万元</w:t>
      </w:r>
      <w:r>
        <w:rPr>
          <w:rFonts w:hint="eastAsia" w:ascii="Times New Roman" w:hAnsi="Times New Roman" w:eastAsia="仿宋_GB2312" w:cs="仿宋_GB2312"/>
          <w:color w:val="auto"/>
          <w:kern w:val="2"/>
          <w:sz w:val="32"/>
          <w:szCs w:val="32"/>
          <w:highlight w:val="none"/>
          <w:lang w:val="en-US" w:eastAsia="zh-CN" w:bidi="ar-SA"/>
        </w:rPr>
        <w:t>、医疗费补助</w:t>
      </w:r>
      <w:r>
        <w:rPr>
          <w:rFonts w:hint="eastAsia" w:eastAsia="仿宋_GB2312" w:cs="仿宋_GB2312"/>
          <w:color w:val="auto"/>
          <w:kern w:val="2"/>
          <w:sz w:val="32"/>
          <w:szCs w:val="32"/>
          <w:highlight w:val="none"/>
          <w:lang w:val="en-US" w:eastAsia="zh-CN" w:bidi="ar-SA"/>
        </w:rPr>
        <w:t>13.13万元</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170.66万元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104.93万元</w:t>
      </w:r>
      <w:r>
        <w:rPr>
          <w:rFonts w:hint="eastAsia" w:ascii="Times New Roman" w:hAnsi="Times New Roman" w:eastAsia="仿宋_GB2312" w:cs="仿宋_GB2312"/>
          <w:color w:val="auto"/>
          <w:kern w:val="2"/>
          <w:sz w:val="32"/>
          <w:szCs w:val="32"/>
          <w:highlight w:val="none"/>
          <w:lang w:val="en-US" w:eastAsia="zh-CN" w:bidi="ar-SA"/>
        </w:rPr>
        <w:t>、水费</w:t>
      </w:r>
      <w:r>
        <w:rPr>
          <w:rFonts w:hint="eastAsia" w:eastAsia="仿宋_GB2312" w:cs="仿宋_GB2312"/>
          <w:color w:val="auto"/>
          <w:kern w:val="2"/>
          <w:sz w:val="32"/>
          <w:szCs w:val="32"/>
          <w:highlight w:val="none"/>
          <w:lang w:val="en-US" w:eastAsia="zh-CN" w:bidi="ar-SA"/>
        </w:rPr>
        <w:t>2.82万元</w:t>
      </w:r>
      <w:r>
        <w:rPr>
          <w:rFonts w:hint="eastAsia" w:ascii="Times New Roman" w:hAnsi="Times New Roman" w:eastAsia="仿宋_GB2312" w:cs="仿宋_GB2312"/>
          <w:color w:val="auto"/>
          <w:kern w:val="2"/>
          <w:sz w:val="32"/>
          <w:szCs w:val="32"/>
          <w:highlight w:val="none"/>
          <w:lang w:val="en-US" w:eastAsia="zh-CN" w:bidi="ar-SA"/>
        </w:rPr>
        <w:t>、电费</w:t>
      </w:r>
      <w:r>
        <w:rPr>
          <w:rFonts w:hint="eastAsia" w:eastAsia="仿宋_GB2312" w:cs="仿宋_GB2312"/>
          <w:color w:val="auto"/>
          <w:kern w:val="2"/>
          <w:sz w:val="32"/>
          <w:szCs w:val="32"/>
          <w:highlight w:val="none"/>
          <w:lang w:val="en-US" w:eastAsia="zh-CN" w:bidi="ar-SA"/>
        </w:rPr>
        <w:t>13.21万元</w:t>
      </w:r>
      <w:r>
        <w:rPr>
          <w:rFonts w:hint="eastAsia" w:ascii="Times New Roman" w:hAnsi="Times New Roman" w:eastAsia="仿宋_GB2312" w:cs="仿宋_GB2312"/>
          <w:color w:val="auto"/>
          <w:kern w:val="2"/>
          <w:sz w:val="32"/>
          <w:szCs w:val="32"/>
          <w:highlight w:val="none"/>
          <w:lang w:val="en-US" w:eastAsia="zh-CN" w:bidi="ar-SA"/>
        </w:rPr>
        <w:t>、邮电费</w:t>
      </w:r>
      <w:r>
        <w:rPr>
          <w:rFonts w:hint="eastAsia" w:eastAsia="仿宋_GB2312" w:cs="仿宋_GB2312"/>
          <w:color w:val="auto"/>
          <w:kern w:val="2"/>
          <w:sz w:val="32"/>
          <w:szCs w:val="32"/>
          <w:highlight w:val="none"/>
          <w:lang w:val="en-US" w:eastAsia="zh-CN" w:bidi="ar-SA"/>
        </w:rPr>
        <w:t>8.7万元</w:t>
      </w:r>
      <w:r>
        <w:rPr>
          <w:rFonts w:hint="eastAsia" w:ascii="Times New Roman" w:hAnsi="Times New Roman" w:eastAsia="仿宋_GB2312" w:cs="仿宋_GB2312"/>
          <w:color w:val="auto"/>
          <w:kern w:val="2"/>
          <w:sz w:val="32"/>
          <w:szCs w:val="32"/>
          <w:highlight w:val="none"/>
          <w:lang w:val="en-US" w:eastAsia="zh-CN" w:bidi="ar-SA"/>
        </w:rPr>
        <w:t>、差旅费</w:t>
      </w:r>
      <w:r>
        <w:rPr>
          <w:rFonts w:hint="eastAsia" w:eastAsia="仿宋_GB2312" w:cs="仿宋_GB2312"/>
          <w:color w:val="auto"/>
          <w:kern w:val="2"/>
          <w:sz w:val="32"/>
          <w:szCs w:val="32"/>
          <w:highlight w:val="none"/>
          <w:lang w:val="en-US" w:eastAsia="zh-CN" w:bidi="ar-SA"/>
        </w:rPr>
        <w:t>46.7万元</w:t>
      </w:r>
      <w:r>
        <w:rPr>
          <w:rFonts w:hint="eastAsia" w:ascii="Times New Roman" w:hAnsi="Times New Roman" w:eastAsia="仿宋_GB2312" w:cs="仿宋_GB2312"/>
          <w:color w:val="auto"/>
          <w:kern w:val="2"/>
          <w:sz w:val="32"/>
          <w:szCs w:val="32"/>
          <w:highlight w:val="none"/>
          <w:lang w:val="en-US" w:eastAsia="zh-CN" w:bidi="ar-SA"/>
        </w:rPr>
        <w:t>、因公出国（境）费用</w:t>
      </w:r>
      <w:r>
        <w:rPr>
          <w:rFonts w:hint="eastAsia" w:eastAsia="仿宋_GB2312" w:cs="仿宋_GB2312"/>
          <w:color w:val="auto"/>
          <w:kern w:val="2"/>
          <w:sz w:val="32"/>
          <w:szCs w:val="32"/>
          <w:highlight w:val="none"/>
          <w:lang w:val="en-US" w:eastAsia="zh-CN" w:bidi="ar-SA"/>
        </w:rPr>
        <w:t>6.48万元</w:t>
      </w:r>
      <w:r>
        <w:rPr>
          <w:rFonts w:hint="eastAsia" w:ascii="Times New Roman" w:hAnsi="Times New Roman" w:eastAsia="仿宋_GB2312" w:cs="仿宋_GB2312"/>
          <w:color w:val="auto"/>
          <w:kern w:val="2"/>
          <w:sz w:val="32"/>
          <w:szCs w:val="32"/>
          <w:highlight w:val="none"/>
          <w:lang w:val="en-US" w:eastAsia="zh-CN" w:bidi="ar-SA"/>
        </w:rPr>
        <w:t>、公务接待费</w:t>
      </w:r>
      <w:r>
        <w:rPr>
          <w:rFonts w:hint="eastAsia" w:eastAsia="仿宋_GB2312" w:cs="仿宋_GB2312"/>
          <w:color w:val="auto"/>
          <w:kern w:val="2"/>
          <w:sz w:val="32"/>
          <w:szCs w:val="32"/>
          <w:highlight w:val="none"/>
          <w:lang w:val="en-US" w:eastAsia="zh-CN" w:bidi="ar-SA"/>
        </w:rPr>
        <w:t>4.42万元</w:t>
      </w:r>
      <w:r>
        <w:rPr>
          <w:rFonts w:hint="eastAsia" w:ascii="Times New Roman" w:hAnsi="Times New Roman" w:eastAsia="仿宋_GB2312" w:cs="仿宋_GB2312"/>
          <w:color w:val="auto"/>
          <w:kern w:val="2"/>
          <w:sz w:val="32"/>
          <w:szCs w:val="32"/>
          <w:highlight w:val="none"/>
          <w:lang w:val="en-US" w:eastAsia="zh-CN" w:bidi="ar-SA"/>
        </w:rPr>
        <w:t>、工会经费</w:t>
      </w:r>
      <w:r>
        <w:rPr>
          <w:rFonts w:hint="eastAsia" w:eastAsia="仿宋_GB2312" w:cs="仿宋_GB2312"/>
          <w:color w:val="auto"/>
          <w:kern w:val="2"/>
          <w:sz w:val="32"/>
          <w:szCs w:val="32"/>
          <w:highlight w:val="none"/>
          <w:lang w:val="en-US" w:eastAsia="zh-CN" w:bidi="ar-SA"/>
        </w:rPr>
        <w:t>28.46万元</w:t>
      </w:r>
      <w:r>
        <w:rPr>
          <w:rFonts w:hint="eastAsia" w:ascii="Times New Roman" w:hAnsi="Times New Roman" w:eastAsia="仿宋_GB2312" w:cs="仿宋_GB2312"/>
          <w:color w:val="auto"/>
          <w:kern w:val="2"/>
          <w:sz w:val="32"/>
          <w:szCs w:val="32"/>
          <w:highlight w:val="none"/>
          <w:lang w:val="en-US" w:eastAsia="zh-CN" w:bidi="ar-SA"/>
        </w:rPr>
        <w:t>、公务用车运行维护费</w:t>
      </w:r>
      <w:r>
        <w:rPr>
          <w:rFonts w:hint="eastAsia" w:eastAsia="仿宋_GB2312" w:cs="仿宋_GB2312"/>
          <w:color w:val="auto"/>
          <w:kern w:val="2"/>
          <w:sz w:val="32"/>
          <w:szCs w:val="32"/>
          <w:highlight w:val="none"/>
          <w:lang w:val="en-US" w:eastAsia="zh-CN" w:bidi="ar-SA"/>
        </w:rPr>
        <w:t>13.66万元</w:t>
      </w:r>
      <w:r>
        <w:rPr>
          <w:rFonts w:hint="eastAsia" w:ascii="Times New Roman" w:hAnsi="Times New Roman" w:eastAsia="仿宋_GB2312" w:cs="仿宋_GB2312"/>
          <w:color w:val="auto"/>
          <w:kern w:val="2"/>
          <w:sz w:val="32"/>
          <w:szCs w:val="32"/>
          <w:highlight w:val="none"/>
          <w:lang w:val="en-US" w:eastAsia="zh-CN" w:bidi="ar-SA"/>
        </w:rPr>
        <w:t>、其他交通费</w:t>
      </w:r>
      <w:r>
        <w:rPr>
          <w:rFonts w:hint="eastAsia" w:eastAsia="仿宋_GB2312" w:cs="仿宋_GB2312"/>
          <w:color w:val="auto"/>
          <w:kern w:val="2"/>
          <w:sz w:val="32"/>
          <w:szCs w:val="32"/>
          <w:highlight w:val="none"/>
          <w:lang w:val="en-US" w:eastAsia="zh-CN" w:bidi="ar-SA"/>
        </w:rPr>
        <w:t>74.36万元</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0.04万元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1"/>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24.57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4.55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增长</w:t>
      </w:r>
      <w:r>
        <w:rPr>
          <w:rFonts w:hint="eastAsia" w:ascii="Times New Roman" w:hAnsi="Times New Roman" w:eastAsia="仿宋_GB2312" w:cs="仿宋_GB2312"/>
          <w:color w:val="auto"/>
          <w:kern w:val="2"/>
          <w:sz w:val="32"/>
          <w:szCs w:val="32"/>
          <w:highlight w:val="none"/>
          <w:lang w:val="en-US" w:eastAsia="zh-CN" w:bidi="ar-SA"/>
        </w:rPr>
        <w:t>的主要原因是</w:t>
      </w:r>
      <w:r>
        <w:rPr>
          <w:rFonts w:hint="eastAsia" w:eastAsia="仿宋_GB2312" w:cs="仿宋_GB2312"/>
          <w:color w:val="auto"/>
          <w:kern w:val="2"/>
          <w:sz w:val="32"/>
          <w:szCs w:val="32"/>
          <w:highlight w:val="none"/>
          <w:lang w:val="en-US" w:eastAsia="zh-CN" w:bidi="ar-SA"/>
        </w:rPr>
        <w:t>新增本年</w:t>
      </w:r>
      <w:r>
        <w:rPr>
          <w:rFonts w:hint="eastAsia" w:ascii="Times New Roman" w:hAnsi="Times New Roman" w:eastAsia="仿宋_GB2312" w:cs="仿宋_GB2312"/>
          <w:color w:val="auto"/>
          <w:kern w:val="2"/>
          <w:sz w:val="32"/>
          <w:szCs w:val="32"/>
          <w:highlight w:val="none"/>
          <w:lang w:val="en-US" w:eastAsia="zh-CN" w:bidi="ar-SA"/>
        </w:rPr>
        <w:t>因公出国（境）费用。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6.48</w:t>
      </w:r>
      <w:r>
        <w:rPr>
          <w:rFonts w:hint="eastAsia" w:ascii="仿宋_GB2312" w:hAnsi="仿宋_GB2312" w:eastAsia="仿宋_GB2312" w:cs="仿宋_GB2312"/>
          <w:color w:val="auto"/>
          <w:kern w:val="2"/>
          <w:sz w:val="32"/>
          <w:szCs w:val="32"/>
          <w:highlight w:val="none"/>
          <w:lang w:val="en-US" w:eastAsia="zh-CN" w:bidi="ar-SA"/>
        </w:rPr>
        <w:t>万元，占26.37%；公务用车购置及运行维护费支出决算</w:t>
      </w:r>
      <w:r>
        <w:rPr>
          <w:rFonts w:hint="eastAsia" w:ascii="仿宋_GB2312" w:hAnsi="仿宋_GB2312" w:eastAsia="仿宋_GB2312" w:cs="仿宋_GB2312"/>
          <w:sz w:val="32"/>
          <w:szCs w:val="32"/>
        </w:rPr>
        <w:t>13.66</w:t>
      </w:r>
      <w:r>
        <w:rPr>
          <w:rFonts w:hint="eastAsia" w:ascii="仿宋_GB2312" w:hAnsi="仿宋_GB2312" w:eastAsia="仿宋_GB2312" w:cs="仿宋_GB2312"/>
          <w:color w:val="auto"/>
          <w:kern w:val="2"/>
          <w:sz w:val="32"/>
          <w:szCs w:val="32"/>
          <w:highlight w:val="none"/>
          <w:lang w:val="en-US" w:eastAsia="zh-CN" w:bidi="ar-SA"/>
        </w:rPr>
        <w:t>万元，占55.6%；公务接待费支出决算</w:t>
      </w:r>
      <w:r>
        <w:rPr>
          <w:rFonts w:hint="eastAsia" w:ascii="仿宋_GB2312" w:hAnsi="仿宋_GB2312" w:eastAsia="仿宋_GB2312" w:cs="仿宋_GB2312"/>
          <w:sz w:val="32"/>
          <w:szCs w:val="32"/>
        </w:rPr>
        <w:t>4.43</w:t>
      </w:r>
      <w:r>
        <w:rPr>
          <w:rFonts w:hint="eastAsia" w:ascii="仿宋_GB2312" w:hAnsi="仿宋_GB2312" w:eastAsia="仿宋_GB2312" w:cs="仿宋_GB2312"/>
          <w:color w:val="auto"/>
          <w:kern w:val="2"/>
          <w:sz w:val="32"/>
          <w:szCs w:val="32"/>
          <w:highlight w:val="none"/>
          <w:lang w:val="en-US" w:eastAsia="zh-CN" w:bidi="ar-SA"/>
        </w:rPr>
        <w:t>万元，占18.03%。具体情况如下：</w:t>
      </w:r>
    </w:p>
    <w:p>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
        <w:rPr>
          <w:rFonts w:hint="eastAsia"/>
          <w:lang w:val="en-US" w:eastAsia="zh-CN"/>
        </w:rPr>
      </w:pPr>
    </w:p>
    <w:p>
      <w:pPr>
        <w:pStyle w:val="3"/>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6.48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6.48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根据市委市政府安排出国。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1.93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节约经费开支。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13.66</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载货汽车1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、其他专用车1辆、消防车2辆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13.66</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4.43万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330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4.43</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3573.68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22948.86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86.52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77219"/>
      <w:bookmarkStart w:id="37"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77221"/>
      <w:bookmarkStart w:id="39"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13.72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4.32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人员变动。</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2699.89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423.45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1264.27</w:t>
      </w:r>
      <w:r>
        <w:rPr>
          <w:rFonts w:hint="eastAsia" w:ascii="仿宋_GB2312" w:hAnsi="仿宋_GB2312" w:eastAsia="仿宋_GB2312" w:cs="仿宋_GB2312"/>
          <w:color w:val="auto"/>
          <w:kern w:val="2"/>
          <w:sz w:val="32"/>
          <w:szCs w:val="32"/>
          <w:highlight w:val="none"/>
          <w:lang w:val="en-US" w:eastAsia="zh-CN" w:bidi="ar-SA"/>
        </w:rPr>
        <w:t>万元、政府采购服</w:t>
      </w:r>
      <w:r>
        <w:rPr>
          <w:rFonts w:hint="eastAsia" w:ascii="仿宋_GB2312" w:hAnsi="仿宋_GB2312" w:eastAsia="仿宋_GB2312" w:cs="仿宋_GB2312"/>
          <w:sz w:val="32"/>
          <w:szCs w:val="32"/>
          <w:lang w:val="en-US" w:eastAsia="zh-CN"/>
        </w:rPr>
        <w:t>务支出</w:t>
      </w:r>
      <w:r>
        <w:rPr>
          <w:rFonts w:hint="eastAsia" w:ascii="仿宋_GB2312" w:hAnsi="仿宋_GB2312" w:eastAsia="仿宋_GB2312" w:cs="仿宋_GB2312"/>
          <w:sz w:val="32"/>
          <w:szCs w:val="32"/>
        </w:rPr>
        <w:t>1012.17</w:t>
      </w:r>
      <w:r>
        <w:rPr>
          <w:rFonts w:hint="eastAsia" w:ascii="仿宋_GB2312" w:hAnsi="仿宋_GB2312" w:eastAsia="仿宋_GB2312" w:cs="仿宋_GB2312"/>
          <w:sz w:val="32"/>
          <w:szCs w:val="32"/>
          <w:lang w:val="en-US" w:eastAsia="zh-CN"/>
        </w:rPr>
        <w:t>万元。主要用于支付</w:t>
      </w:r>
      <w:r>
        <w:rPr>
          <w:rFonts w:hint="eastAsia" w:ascii="仿宋_GB2312" w:hAnsi="仿宋_GB2312" w:eastAsia="仿宋_GB2312" w:cs="仿宋_GB2312"/>
          <w:sz w:val="32"/>
          <w:szCs w:val="32"/>
        </w:rPr>
        <w:t>攀枝花钒钛高新区（金江片区）城乡环卫一体化采购项目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化工园区安全风险整治提升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技能实训基地</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2471.68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91.54</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1539.45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57.01</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辆，其中：其他用车</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辆，特种专业技术用车2辆。单价100万元（含）以上设备（不含车辆）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钒钛高新区管委会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在2024年度预算编制阶段，组织对钒钛高新区</w:t>
      </w:r>
      <w:r>
        <w:rPr>
          <w:rFonts w:hint="eastAsia" w:eastAsia="仿宋_GB2312" w:cs="仿宋_GB2312"/>
          <w:color w:val="auto"/>
          <w:kern w:val="2"/>
          <w:sz w:val="32"/>
          <w:szCs w:val="32"/>
          <w:highlight w:val="none"/>
          <w:lang w:val="en-US" w:eastAsia="zh-CN" w:bidi="ar-SA"/>
        </w:rPr>
        <w:t>城市管理</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部门整体（含部门预算项目）绩效自评报告、等专项预算项目绩效自评报告，绩效自评报告详见附件。</w:t>
      </w:r>
    </w:p>
    <w:p>
      <w:pPr>
        <w:spacing w:beforeLines="0" w:afterLines="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本年度部门决算等财务工作开展情况</w:t>
      </w:r>
    </w:p>
    <w:p>
      <w:pPr>
        <w:snapToGrid w:val="0"/>
        <w:spacing w:beforeLines="0" w:afterLines="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）本单位财务管理、绩效管理、决算组织、编报、审核情况。</w:t>
      </w:r>
    </w:p>
    <w:p>
      <w:pPr>
        <w:snapToGrid w:val="0"/>
        <w:spacing w:beforeLines="0" w:afterLines="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）本单位决算及绩效信息公开工作开展情况。</w:t>
      </w:r>
    </w:p>
    <w:p>
      <w:pPr>
        <w:pStyle w:val="7"/>
        <w:ind w:left="0" w:leftChars="0" w:firstLine="0" w:firstLineChars="0"/>
        <w:rPr>
          <w:rFonts w:hint="eastAsia"/>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）对部门决算管理工作的意见和建议。</w:t>
      </w:r>
    </w:p>
    <w:p>
      <w:pPr>
        <w:pStyle w:val="3"/>
        <w:ind w:left="0" w:leftChars="0" w:firstLine="0" w:firstLineChars="0"/>
        <w:jc w:val="both"/>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spacing w:line="600" w:lineRule="exact"/>
        <w:jc w:val="center"/>
        <w:rPr>
          <w:rStyle w:val="30"/>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ind w:left="0" w:leftChars="0" w:firstLine="0" w:firstLineChars="0"/>
        <w:jc w:val="both"/>
        <w:rPr>
          <w:rFonts w:hint="default" w:ascii="Times New Roman" w:hAnsi="Times New Roman" w:eastAsia="仿宋_GB2312" w:cs="仿宋_GB2312"/>
          <w:b w:val="0"/>
          <w:bCs w:val="0"/>
          <w:i w:val="0"/>
          <w:kern w:val="0"/>
          <w:position w:val="0"/>
          <w:sz w:val="32"/>
          <w:szCs w:val="32"/>
          <w:highlight w:val="none"/>
          <w:lang w:val="en-US" w:eastAsia="zh-CN" w:bidi="ar-SA"/>
        </w:rPr>
      </w:pPr>
      <w:r>
        <w:rPr>
          <w:rFonts w:hint="eastAsia" w:ascii="Times New Roman" w:hAnsi="Times New Roman" w:eastAsia="仿宋_GB2312" w:cs="仿宋_GB2312"/>
          <w:b w:val="0"/>
          <w:bCs w:val="0"/>
          <w:i w:val="0"/>
          <w:kern w:val="0"/>
          <w:position w:val="0"/>
          <w:sz w:val="32"/>
          <w:szCs w:val="32"/>
          <w:highlight w:val="none"/>
          <w:lang w:val="en-US" w:eastAsia="zh-CN" w:bidi="ar-SA"/>
        </w:rPr>
        <w:t>部门预算项目支出绩效自评表（2024年度）见附件3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7"/>
      <w:bookmarkStart w:id="48"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502B6"/>
    <w:multiLevelType w:val="singleLevel"/>
    <w:tmpl w:val="297502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DE5OTlkM2EwYWEyY2E4YzI3MDZjOTMzODBiM2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E44AB"/>
    <w:rsid w:val="02FEBE30"/>
    <w:rsid w:val="04916F1E"/>
    <w:rsid w:val="061E35DE"/>
    <w:rsid w:val="066E0107"/>
    <w:rsid w:val="07996F6E"/>
    <w:rsid w:val="07DFD8BA"/>
    <w:rsid w:val="09313136"/>
    <w:rsid w:val="095D7FB8"/>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0679F6"/>
    <w:rsid w:val="16450189"/>
    <w:rsid w:val="165E0673"/>
    <w:rsid w:val="16B831D5"/>
    <w:rsid w:val="16BB723D"/>
    <w:rsid w:val="17E50567"/>
    <w:rsid w:val="186504BB"/>
    <w:rsid w:val="19A445FC"/>
    <w:rsid w:val="1BE8440E"/>
    <w:rsid w:val="1D155CEE"/>
    <w:rsid w:val="1D1638FE"/>
    <w:rsid w:val="1E312DEB"/>
    <w:rsid w:val="1E740ACF"/>
    <w:rsid w:val="1FF35744"/>
    <w:rsid w:val="1FF6BC77"/>
    <w:rsid w:val="2186353C"/>
    <w:rsid w:val="21967609"/>
    <w:rsid w:val="233578F6"/>
    <w:rsid w:val="23860B96"/>
    <w:rsid w:val="240371BF"/>
    <w:rsid w:val="244F3473"/>
    <w:rsid w:val="24511E14"/>
    <w:rsid w:val="24C97D99"/>
    <w:rsid w:val="25A718F0"/>
    <w:rsid w:val="25A77F4A"/>
    <w:rsid w:val="25BB59F6"/>
    <w:rsid w:val="260F557C"/>
    <w:rsid w:val="26970054"/>
    <w:rsid w:val="281408E2"/>
    <w:rsid w:val="29FD04D3"/>
    <w:rsid w:val="2BE04859"/>
    <w:rsid w:val="2BFF7BC6"/>
    <w:rsid w:val="2C8A61B5"/>
    <w:rsid w:val="2DF04E50"/>
    <w:rsid w:val="2E586DFA"/>
    <w:rsid w:val="2F040D46"/>
    <w:rsid w:val="2F6B035B"/>
    <w:rsid w:val="2FAE5751"/>
    <w:rsid w:val="2FB1A395"/>
    <w:rsid w:val="2FD9A7D8"/>
    <w:rsid w:val="2FDBF714"/>
    <w:rsid w:val="30AB6865"/>
    <w:rsid w:val="319F7F4E"/>
    <w:rsid w:val="32152E7B"/>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5E4103"/>
    <w:rsid w:val="44E268DA"/>
    <w:rsid w:val="450D13D7"/>
    <w:rsid w:val="45506656"/>
    <w:rsid w:val="46BA7686"/>
    <w:rsid w:val="481C790F"/>
    <w:rsid w:val="486A6C7A"/>
    <w:rsid w:val="4A627F82"/>
    <w:rsid w:val="4B0E749A"/>
    <w:rsid w:val="4B2477C4"/>
    <w:rsid w:val="4B4F25DA"/>
    <w:rsid w:val="4BE068DB"/>
    <w:rsid w:val="4D577224"/>
    <w:rsid w:val="4DBF1CEB"/>
    <w:rsid w:val="4DF0007C"/>
    <w:rsid w:val="4E5B3FA1"/>
    <w:rsid w:val="4EAB630A"/>
    <w:rsid w:val="4ECE2238"/>
    <w:rsid w:val="4F833267"/>
    <w:rsid w:val="4FE9BD67"/>
    <w:rsid w:val="4FFB052F"/>
    <w:rsid w:val="530C761E"/>
    <w:rsid w:val="537E6D0A"/>
    <w:rsid w:val="53F74C96"/>
    <w:rsid w:val="55170BA8"/>
    <w:rsid w:val="553218C9"/>
    <w:rsid w:val="565C64E0"/>
    <w:rsid w:val="567E1AA5"/>
    <w:rsid w:val="56E47B74"/>
    <w:rsid w:val="57175D52"/>
    <w:rsid w:val="57BD3DD4"/>
    <w:rsid w:val="5AF92295"/>
    <w:rsid w:val="5B250254"/>
    <w:rsid w:val="5BDD79E6"/>
    <w:rsid w:val="5BF561CA"/>
    <w:rsid w:val="5BFF5DFC"/>
    <w:rsid w:val="5CA70254"/>
    <w:rsid w:val="5CD71FC4"/>
    <w:rsid w:val="5D1F11B5"/>
    <w:rsid w:val="5D695134"/>
    <w:rsid w:val="5DAE1B18"/>
    <w:rsid w:val="5DE7D9E5"/>
    <w:rsid w:val="5ECEC941"/>
    <w:rsid w:val="5FBF9FF3"/>
    <w:rsid w:val="5FCD4E2C"/>
    <w:rsid w:val="5FEF394A"/>
    <w:rsid w:val="5FF67715"/>
    <w:rsid w:val="62026851"/>
    <w:rsid w:val="62BF3928"/>
    <w:rsid w:val="63B3701E"/>
    <w:rsid w:val="647F5392"/>
    <w:rsid w:val="64E92CE8"/>
    <w:rsid w:val="65DE6078"/>
    <w:rsid w:val="65E66580"/>
    <w:rsid w:val="664B1D71"/>
    <w:rsid w:val="664B4E8E"/>
    <w:rsid w:val="67277B67"/>
    <w:rsid w:val="67AA3209"/>
    <w:rsid w:val="69404C0C"/>
    <w:rsid w:val="698D0931"/>
    <w:rsid w:val="6A7FE5F3"/>
    <w:rsid w:val="6B053271"/>
    <w:rsid w:val="6BC648DA"/>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849FC"/>
    <w:rsid w:val="73FA497D"/>
    <w:rsid w:val="744731E5"/>
    <w:rsid w:val="74B63C19"/>
    <w:rsid w:val="74BBD01D"/>
    <w:rsid w:val="74ED5379"/>
    <w:rsid w:val="75DEEEC2"/>
    <w:rsid w:val="75E32345"/>
    <w:rsid w:val="766320B0"/>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5DF484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index 5"/>
    <w:basedOn w:val="1"/>
    <w:next w:val="1"/>
    <w:qFormat/>
    <w:uiPriority w:val="0"/>
    <w:pPr>
      <w:ind w:left="1680"/>
    </w:pPr>
    <w:rPr>
      <w:rFonts w:ascii="黑体" w:eastAsia="黑体"/>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0"/>
    <w:pPr>
      <w:ind w:firstLine="420" w:firstLineChars="200"/>
    </w:pPr>
    <w:rPr>
      <w:rFonts w:eastAsia="宋体"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2023年和2024年总收入支出对比图</a:t>
            </a:r>
          </a:p>
        </c:rich>
      </c:tx>
      <c:layout>
        <c:manualLayout>
          <c:xMode val="edge"/>
          <c:yMode val="edge"/>
          <c:x val="0.126944444444444"/>
          <c:y val="0.0367005813953488"/>
        </c:manualLayout>
      </c:layout>
      <c:overlay val="false"/>
      <c:spPr>
        <a:noFill/>
        <a:ln>
          <a:noFill/>
        </a:ln>
        <a:effectLst/>
      </c:spPr>
    </c:title>
    <c:autoTitleDeleted val="false"/>
    <c:plotArea>
      <c:layout/>
      <c:barChart>
        <c:barDir val="col"/>
        <c:grouping val="clustered"/>
        <c:varyColors val="false"/>
        <c:ser>
          <c:idx val="0"/>
          <c:order val="0"/>
          <c:tx>
            <c:strRef>
              <c:f>'[新建 XLSX 工作表.xlsx]Sheet1'!$A$2</c:f>
              <c:strCache>
                <c:ptCount val="1"/>
                <c:pt idx="0">
                  <c:v>总收入</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工作表.xlsx]Sheet1'!$B$2:$C$2</c:f>
              <c:numCache>
                <c:formatCode>General</c:formatCode>
                <c:ptCount val="2"/>
                <c:pt idx="0">
                  <c:v>56800.1</c:v>
                </c:pt>
                <c:pt idx="1">
                  <c:v>36459.02</c:v>
                </c:pt>
              </c:numCache>
            </c:numRef>
          </c:val>
        </c:ser>
        <c:ser>
          <c:idx val="1"/>
          <c:order val="1"/>
          <c:tx>
            <c:strRef>
              <c:f>'[新建 XLSX 工作表.xlsx]Sheet1'!$A$3</c:f>
              <c:strCache>
                <c:ptCount val="1"/>
                <c:pt idx="0">
                  <c:v>总支出</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工作表.xlsx]Sheet1'!$B$3:$C$3</c:f>
              <c:numCache>
                <c:formatCode>General</c:formatCode>
                <c:ptCount val="2"/>
                <c:pt idx="0">
                  <c:v>56800.1</c:v>
                </c:pt>
                <c:pt idx="1">
                  <c:v>36459.02</c:v>
                </c:pt>
              </c:numCache>
            </c:numRef>
          </c:val>
        </c:ser>
        <c:dLbls>
          <c:showLegendKey val="false"/>
          <c:showVal val="true"/>
          <c:showCatName val="false"/>
          <c:showSerName val="false"/>
          <c:showPercent val="false"/>
          <c:showBubbleSize val="false"/>
        </c:dLbls>
        <c:gapWidth val="65"/>
        <c:overlap val="0"/>
        <c:axId val="890344374"/>
        <c:axId val="331720161"/>
      </c:barChart>
      <c:catAx>
        <c:axId val="890344374"/>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331720161"/>
        <c:crosses val="autoZero"/>
        <c:auto val="true"/>
        <c:lblAlgn val="ctr"/>
        <c:lblOffset val="100"/>
        <c:noMultiLvlLbl val="false"/>
      </c:catAx>
      <c:valAx>
        <c:axId val="331720161"/>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890344374"/>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收入构成情况表</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工作表.xlsx]Sheet2'!$A$2:$A$3</c:f>
              <c:strCache>
                <c:ptCount val="2"/>
                <c:pt idx="0">
                  <c:v>一般公共预算财政拨款收入</c:v>
                </c:pt>
                <c:pt idx="1">
                  <c:v>政府性基金预算财政拨款收入</c:v>
                </c:pt>
              </c:strCache>
            </c:strRef>
          </c:cat>
          <c:val>
            <c:numRef>
              <c:f>'[新建 XLSX 工作表.xlsx]Sheet2'!$B$2:$B$3</c:f>
              <c:numCache>
                <c:formatCode>General</c:formatCode>
                <c:ptCount val="2"/>
                <c:pt idx="0">
                  <c:v>32885.34</c:v>
                </c:pt>
                <c:pt idx="1">
                  <c:v>3573.68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manualLayout>
          <c:xMode val="edge"/>
          <c:yMode val="edge"/>
          <c:x val="0.675395085938401"/>
          <c:y val="0.518991331757289"/>
          <c:w val="0.303841273503288"/>
          <c:h val="0.238455476753349"/>
        </c:manualLayout>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chemeClr val="tx2"/>
                </a:solidFill>
                <a:latin typeface="+mn-lt"/>
                <a:ea typeface="+mn-ea"/>
                <a:cs typeface="+mn-cs"/>
              </a:defRPr>
            </a:pPr>
            <a:r>
              <a:t>支出构成情况表</a:t>
            </a:r>
          </a:p>
        </c:rich>
      </c:tx>
      <c:layout/>
      <c:overlay val="false"/>
      <c:spPr>
        <a:noFill/>
        <a:ln>
          <a:noFill/>
        </a:ln>
        <a:effectLst/>
      </c:spPr>
    </c:title>
    <c:autoTitleDeleted val="false"/>
    <c:plotArea>
      <c:layout/>
      <c:pieChart>
        <c:varyColors val="true"/>
        <c:ser>
          <c:idx val="0"/>
          <c:order val="0"/>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'[新建 XLSX 工作表.xlsx]Sheet3'!$A$2:$A$3</c:f>
              <c:strCache>
                <c:ptCount val="2"/>
                <c:pt idx="0">
                  <c:v>基本支出</c:v>
                </c:pt>
                <c:pt idx="1">
                  <c:v>项目支出</c:v>
                </c:pt>
              </c:strCache>
            </c:strRef>
          </c:cat>
          <c:val>
            <c:numRef>
              <c:f>'[新建 XLSX 工作表.xlsx]Sheet3'!$B$2:$B$3</c:f>
              <c:numCache>
                <c:formatCode>General</c:formatCode>
                <c:ptCount val="2"/>
                <c:pt idx="0">
                  <c:v>2812.21</c:v>
                </c:pt>
                <c:pt idx="1">
                  <c:v>33646.81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2023年和2024年总收入支出对比图</a:t>
            </a:r>
          </a:p>
        </c:rich>
      </c:tx>
      <c:layout>
        <c:manualLayout>
          <c:xMode val="edge"/>
          <c:yMode val="edge"/>
          <c:x val="0.126944444444444"/>
          <c:y val="0.0367005813953488"/>
        </c:manualLayout>
      </c:layout>
      <c:overlay val="false"/>
      <c:spPr>
        <a:noFill/>
        <a:ln>
          <a:noFill/>
        </a:ln>
        <a:effectLst/>
      </c:spPr>
    </c:title>
    <c:autoTitleDeleted val="false"/>
    <c:plotArea>
      <c:layout/>
      <c:barChart>
        <c:barDir val="col"/>
        <c:grouping val="clustered"/>
        <c:varyColors val="false"/>
        <c:ser>
          <c:idx val="0"/>
          <c:order val="0"/>
          <c:tx>
            <c:strRef>
              <c:f>'[新建 XLSX 工作表.xlsx]Sheet1'!$A$2</c:f>
              <c:strCache>
                <c:ptCount val="1"/>
                <c:pt idx="0">
                  <c:v>总收入</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工作表.xlsx]Sheet1'!$B$2:$C$2</c:f>
              <c:numCache>
                <c:formatCode>General</c:formatCode>
                <c:ptCount val="2"/>
                <c:pt idx="0">
                  <c:v>56800.1</c:v>
                </c:pt>
                <c:pt idx="1">
                  <c:v>36459.02</c:v>
                </c:pt>
              </c:numCache>
            </c:numRef>
          </c:val>
        </c:ser>
        <c:ser>
          <c:idx val="1"/>
          <c:order val="1"/>
          <c:tx>
            <c:strRef>
              <c:f>'[新建 XLSX 工作表.xlsx]Sheet1'!$A$3</c:f>
              <c:strCache>
                <c:ptCount val="1"/>
                <c:pt idx="0">
                  <c:v>总支出</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工作表.xlsx]Sheet1'!$B$3:$C$3</c:f>
              <c:numCache>
                <c:formatCode>General</c:formatCode>
                <c:ptCount val="2"/>
                <c:pt idx="0">
                  <c:v>56800.1</c:v>
                </c:pt>
                <c:pt idx="1">
                  <c:v>36459.02</c:v>
                </c:pt>
              </c:numCache>
            </c:numRef>
          </c:val>
        </c:ser>
        <c:dLbls>
          <c:showLegendKey val="false"/>
          <c:showVal val="true"/>
          <c:showCatName val="false"/>
          <c:showSerName val="false"/>
          <c:showPercent val="false"/>
          <c:showBubbleSize val="false"/>
        </c:dLbls>
        <c:gapWidth val="65"/>
        <c:overlap val="0"/>
        <c:axId val="890344374"/>
        <c:axId val="331720161"/>
      </c:barChart>
      <c:catAx>
        <c:axId val="890344374"/>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331720161"/>
        <c:crosses val="autoZero"/>
        <c:auto val="true"/>
        <c:lblAlgn val="ctr"/>
        <c:lblOffset val="100"/>
        <c:noMultiLvlLbl val="false"/>
      </c:catAx>
      <c:valAx>
        <c:axId val="331720161"/>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890344374"/>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一般公共预算财政拨款支出对比图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'[新建 XLSX 工作表.xlsx]Sheet4'!$A$2:$A$3</c:f>
              <c:strCache>
                <c:ptCount val="2"/>
                <c:pt idx="0">
                  <c:v>2023年</c:v>
                </c:pt>
                <c:pt idx="1">
                  <c:v>2024年</c:v>
                </c:pt>
              </c:strCache>
            </c:strRef>
          </c:cat>
          <c:val>
            <c:numRef>
              <c:f>'[新建 XLSX 工作表.xlsx]Sheet4'!$B$2:$B$3</c:f>
              <c:numCache>
                <c:formatCode>General</c:formatCode>
                <c:ptCount val="2"/>
                <c:pt idx="0">
                  <c:v>30277.56</c:v>
                </c:pt>
                <c:pt idx="1">
                  <c:v>32885.34</c:v>
                </c:pt>
              </c:numCache>
            </c:numRef>
          </c:val>
        </c:ser>
        <c:dLbls>
          <c:showLegendKey val="false"/>
          <c:showVal val="false"/>
          <c:showCatName val="false"/>
          <c:showSerName val="false"/>
          <c:showPercent val="false"/>
          <c:showBubbleSize val="false"/>
        </c:dLbls>
        <c:gapWidth val="219"/>
        <c:overlap val="-27"/>
        <c:axId val="634928431"/>
        <c:axId val="422860857"/>
      </c:barChart>
      <c:catAx>
        <c:axId val="63492843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2860857"/>
        <c:crosses val="autoZero"/>
        <c:auto val="true"/>
        <c:lblAlgn val="ctr"/>
        <c:lblOffset val="100"/>
        <c:noMultiLvlLbl val="false"/>
      </c:catAx>
      <c:valAx>
        <c:axId val="42286085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492843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132222222222222"/>
          <c:y val="0.03125"/>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Pt>
            <c:idx val="4"/>
            <c:bubble3D val="false"/>
            <c:spPr>
              <a:solidFill>
                <a:schemeClr val="accent5"/>
              </a:solidFill>
              <a:ln>
                <a:noFill/>
              </a:ln>
              <a:effectLst>
                <a:outerShdw blurRad="254000" sx="102000" sy="102000" algn="ctr" rotWithShape="0">
                  <a:prstClr val="black">
                    <a:alpha val="20000"/>
                  </a:prstClr>
                </a:outerShdw>
              </a:effectLst>
            </c:spPr>
          </c:dPt>
          <c:dPt>
            <c:idx val="5"/>
            <c:bubble3D val="false"/>
            <c:spPr>
              <a:solidFill>
                <a:schemeClr val="accent6"/>
              </a:solidFill>
              <a:ln>
                <a:noFill/>
              </a:ln>
              <a:effectLst>
                <a:outerShdw blurRad="254000" sx="102000" sy="102000" algn="ctr" rotWithShape="0">
                  <a:prstClr val="black">
                    <a:alpha val="20000"/>
                  </a:prstClr>
                </a:outerShdw>
              </a:effectLst>
            </c:spPr>
          </c:dPt>
          <c:dPt>
            <c:idx val="6"/>
            <c:bubble3D val="false"/>
            <c:spPr>
              <a:solidFill>
                <a:schemeClr val="accent1">
                  <a:lumMod val="60000"/>
                </a:schemeClr>
              </a:solidFill>
              <a:ln>
                <a:noFill/>
              </a:ln>
              <a:effectLst>
                <a:outerShdw blurRad="254000" sx="102000" sy="102000" algn="ctr" rotWithShape="0">
                  <a:prstClr val="black">
                    <a:alpha val="20000"/>
                  </a:prstClr>
                </a:outerShdw>
              </a:effectLst>
            </c:spPr>
          </c:dPt>
          <c:dPt>
            <c:idx val="7"/>
            <c:bubble3D val="false"/>
            <c:spPr>
              <a:solidFill>
                <a:schemeClr val="accent2">
                  <a:lumMod val="60000"/>
                </a:schemeClr>
              </a:solidFill>
              <a:ln>
                <a:noFill/>
              </a:ln>
              <a:effectLst>
                <a:outerShdw blurRad="254000" sx="102000" sy="102000" algn="ctr" rotWithShape="0">
                  <a:prstClr val="black">
                    <a:alpha val="20000"/>
                  </a:prstClr>
                </a:outerShdw>
              </a:effectLst>
            </c:spPr>
          </c:dPt>
          <c:dPt>
            <c:idx val="8"/>
            <c:bubble3D val="false"/>
            <c:spPr>
              <a:solidFill>
                <a:schemeClr val="accent3">
                  <a:lumMod val="60000"/>
                </a:schemeClr>
              </a:solidFill>
              <a:ln>
                <a:noFill/>
              </a:ln>
              <a:effectLst>
                <a:outerShdw blurRad="254000" sx="102000" sy="102000" algn="ctr" rotWithShape="0">
                  <a:prstClr val="black">
                    <a:alpha val="20000"/>
                  </a:prstClr>
                </a:outerShdw>
              </a:effectLst>
            </c:spPr>
          </c:dPt>
          <c:dPt>
            <c:idx val="9"/>
            <c:bubble3D val="false"/>
            <c:spPr>
              <a:solidFill>
                <a:schemeClr val="accent4">
                  <a:lumMod val="60000"/>
                </a:schemeClr>
              </a:solidFill>
              <a:ln>
                <a:noFill/>
              </a:ln>
              <a:effectLst>
                <a:outerShdw blurRad="254000" sx="102000" sy="102000" algn="ctr" rotWithShape="0">
                  <a:prstClr val="black">
                    <a:alpha val="20000"/>
                  </a:prstClr>
                </a:outerShdw>
              </a:effectLst>
            </c:spPr>
          </c:dPt>
          <c:dPt>
            <c:idx val="10"/>
            <c:bubble3D val="false"/>
            <c:spPr>
              <a:solidFill>
                <a:schemeClr val="accent5">
                  <a:lumMod val="60000"/>
                </a:schemeClr>
              </a:solidFill>
              <a:ln>
                <a:noFill/>
              </a:ln>
              <a:effectLst>
                <a:outerShdw blurRad="254000" sx="102000" sy="102000" algn="ctr" rotWithShape="0">
                  <a:prstClr val="black">
                    <a:alpha val="20000"/>
                  </a:prstClr>
                </a:outerShdw>
              </a:effectLst>
            </c:spPr>
          </c:dPt>
          <c:dPt>
            <c:idx val="11"/>
            <c:bubble3D val="false"/>
            <c:spPr>
              <a:solidFill>
                <a:schemeClr val="accent6">
                  <a:lumMod val="60000"/>
                </a:schemeClr>
              </a:solidFill>
              <a:ln>
                <a:noFill/>
              </a:ln>
              <a:effectLst>
                <a:outerShdw blurRad="254000" sx="102000" sy="102000" algn="ctr" rotWithShape="0">
                  <a:prstClr val="black">
                    <a:alpha val="20000"/>
                  </a:prstClr>
                </a:outerShdw>
              </a:effectLst>
            </c:spPr>
          </c:dPt>
          <c:dPt>
            <c:idx val="12"/>
            <c:bubble3D val="false"/>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bubble3D val="false"/>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bubble3D val="false"/>
            <c:spPr>
              <a:solidFill>
                <a:schemeClr val="accent3">
                  <a:lumMod val="80000"/>
                  <a:lumOff val="2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工作表.xlsx]Sheet5'!$E$3:$E$17</c:f>
              <c:strCache>
                <c:ptCount val="15"/>
                <c:pt idx="0">
                  <c:v>一般公共服务支出</c:v>
                </c:pt>
                <c:pt idx="1">
                  <c:v>公共安全支出</c:v>
                </c:pt>
                <c:pt idx="2">
                  <c:v>教育支出</c:v>
                </c:pt>
                <c:pt idx="3">
                  <c:v>科学技术支出</c:v>
                </c:pt>
                <c:pt idx="4">
                  <c:v>社会保障和就业支出</c:v>
                </c:pt>
                <c:pt idx="5">
                  <c:v>节能环保支出</c:v>
                </c:pt>
                <c:pt idx="6">
                  <c:v>城乡社区支出</c:v>
                </c:pt>
                <c:pt idx="7">
                  <c:v>农林水支出</c:v>
                </c:pt>
                <c:pt idx="8">
                  <c:v>交通运输支出</c:v>
                </c:pt>
                <c:pt idx="9">
                  <c:v>资源勘探工业信息等支出</c:v>
                </c:pt>
                <c:pt idx="10">
                  <c:v>商业服务业等支出</c:v>
                </c:pt>
                <c:pt idx="11">
                  <c:v>自然资源海洋气象等支出</c:v>
                </c:pt>
                <c:pt idx="12">
                  <c:v>住房保障支出</c:v>
                </c:pt>
                <c:pt idx="13">
                  <c:v>灾害防治及应急管理支出</c:v>
                </c:pt>
                <c:pt idx="14">
                  <c:v>其他支出</c:v>
                </c:pt>
              </c:strCache>
            </c:strRef>
          </c:cat>
          <c:val>
            <c:numRef>
              <c:f>'[新建 XLSX 工作表.xlsx]Sheet5'!$F$3:$F$17</c:f>
              <c:numCache>
                <c:formatCode>General</c:formatCode>
                <c:ptCount val="15"/>
                <c:pt idx="0">
                  <c:v>4661</c:v>
                </c:pt>
                <c:pt idx="1">
                  <c:v>4</c:v>
                </c:pt>
                <c:pt idx="2">
                  <c:v>237.06</c:v>
                </c:pt>
                <c:pt idx="3">
                  <c:v>658.56</c:v>
                </c:pt>
                <c:pt idx="4">
                  <c:v>392.88</c:v>
                </c:pt>
                <c:pt idx="5">
                  <c:v>3136.11</c:v>
                </c:pt>
                <c:pt idx="6">
                  <c:v>11300.59</c:v>
                </c:pt>
                <c:pt idx="7">
                  <c:v>177.96</c:v>
                </c:pt>
                <c:pt idx="8">
                  <c:v>3932.63</c:v>
                </c:pt>
                <c:pt idx="9">
                  <c:v>2531.9</c:v>
                </c:pt>
                <c:pt idx="10">
                  <c:v>109.38</c:v>
                </c:pt>
                <c:pt idx="11">
                  <c:v>29.54</c:v>
                </c:pt>
                <c:pt idx="12">
                  <c:v>1693.64</c:v>
                </c:pt>
                <c:pt idx="13">
                  <c:v>3910.09</c:v>
                </c:pt>
                <c:pt idx="14">
                  <c:v>110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工作表.xlsx]Sheet6'!$D$3:$D$5</c:f>
              <c:strCache>
                <c:ptCount val="3"/>
                <c:pt idx="0">
                  <c:v>因公出国（境）费支出</c:v>
                </c:pt>
                <c:pt idx="1">
                  <c:v>公务用车购置及运行维护费支出</c:v>
                </c:pt>
                <c:pt idx="2">
                  <c:v>公务接待费支出</c:v>
                </c:pt>
              </c:strCache>
            </c:strRef>
          </c:cat>
          <c:val>
            <c:numRef>
              <c:f>'[新建 XLSX 工作表.xlsx]Sheet6'!$E$3:$E$5</c:f>
              <c:numCache>
                <c:formatCode>General</c:formatCode>
                <c:ptCount val="3"/>
                <c:pt idx="0">
                  <c:v>6.48</c:v>
                </c:pt>
                <c:pt idx="1">
                  <c:v>13.66</c:v>
                </c:pt>
                <c:pt idx="2">
                  <c:v>4.43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12510</Words>
  <Characters>13843</Characters>
  <Lines>61</Lines>
  <Paragraphs>17</Paragraphs>
  <TotalTime>5</TotalTime>
  <ScaleCrop>false</ScaleCrop>
  <LinksUpToDate>false</LinksUpToDate>
  <CharactersWithSpaces>14089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2025-09-12T13:20:48Z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