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钒钛高新区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年举借政府债务情况说明</w:t>
      </w:r>
    </w:p>
    <w:bookmarkEnd w:id="0"/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债务余额情况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/>
          <w:sz w:val="32"/>
          <w:szCs w:val="32"/>
          <w:lang w:val="en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年末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钒钛高新区</w:t>
      </w:r>
      <w:r>
        <w:rPr>
          <w:rFonts w:hint="eastAsia" w:ascii="Times New Roman" w:hAnsi="Times New Roman" w:eastAsia="仿宋_GB2312"/>
          <w:sz w:val="32"/>
          <w:szCs w:val="32"/>
        </w:rPr>
        <w:t>地方政府一般债务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余额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" w:eastAsia="zh-CN"/>
        </w:rPr>
        <w:t>45237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年下达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钒钛高新区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新增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一般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债券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" w:eastAsia="zh-CN"/>
        </w:rPr>
        <w:t>6790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归还一般债券转贷款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" w:eastAsia="zh-CN"/>
        </w:rPr>
        <w:t>6790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钒钛高新区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年末地方政府一般债务余额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45237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末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钒钛高新区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地方政府专项债务余额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204550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年下达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钒钛高新区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债券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178235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归还专项债券转贷款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" w:eastAsia="zh-CN"/>
        </w:rPr>
        <w:t>74405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钒钛高新区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末地方政府专项债务余额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308380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NTQyMjBmZTYxYTJlMTVmZTA5Yzk2NWMzZWJkOWIifQ=="/>
  </w:docVars>
  <w:rsids>
    <w:rsidRoot w:val="028C606E"/>
    <w:rsid w:val="028C606E"/>
    <w:rsid w:val="178D6313"/>
    <w:rsid w:val="F5F78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244</Characters>
  <Lines>0</Lines>
  <Paragraphs>0</Paragraphs>
  <TotalTime>21</TotalTime>
  <ScaleCrop>false</ScaleCrop>
  <LinksUpToDate>false</LinksUpToDate>
  <CharactersWithSpaces>244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2024-05-29T21:17:00Z</dcterms:created>
  <dc:creator>Administrator</dc:creator>
  <cp:lastModifiedBy>user</cp:lastModifiedBy>
  <dcterms:modified xsi:type="dcterms:W3CDTF">2025-09-17T10:45:51Z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CD06340D6278447A9ABDA8EAAC3ADCF3_11</vt:lpwstr>
  </property>
</Properties>
</file>