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A6955">
      <w:pPr>
        <w:pStyle w:val="8"/>
        <w:jc w:val="center"/>
        <w:outlineLvl w:val="9"/>
        <w:rPr>
          <w:rFonts w:hint="eastAsia" w:ascii="方正小标宋简体" w:hAnsi="宋体" w:eastAsia="方正小标宋简体"/>
          <w:sz w:val="44"/>
          <w:szCs w:val="44"/>
        </w:rPr>
      </w:pPr>
      <w:bookmarkStart w:id="0" w:name="_Toc15377193"/>
      <w:bookmarkStart w:id="1" w:name="_Toc15306267"/>
      <w:bookmarkStart w:id="2" w:name="_Toc15377425"/>
      <w:bookmarkStart w:id="3" w:name="_Toc15396475"/>
      <w:bookmarkStart w:id="4" w:name="_Toc15378441"/>
      <w:bookmarkStart w:id="5" w:name="_Toc15396597"/>
      <w:r>
        <w:rPr>
          <w:rFonts w:hint="eastAsia" w:ascii="方正小标宋简体" w:hAnsi="宋体" w:eastAsia="方正小标宋简体"/>
          <w:sz w:val="44"/>
          <w:szCs w:val="44"/>
        </w:rPr>
        <w:t>202</w:t>
      </w:r>
      <w:r>
        <w:rPr>
          <w:rFonts w:hint="eastAsia" w:ascii="方正小标宋简体" w:hAnsi="宋体" w:eastAsia="方正小标宋简体"/>
          <w:sz w:val="44"/>
          <w:szCs w:val="44"/>
          <w:lang w:val="en-US" w:eastAsia="zh-CN"/>
        </w:rPr>
        <w:t>4</w:t>
      </w:r>
      <w:r>
        <w:rPr>
          <w:rFonts w:hint="eastAsia" w:ascii="方正小标宋简体" w:hAnsi="宋体" w:eastAsia="方正小标宋简体"/>
          <w:sz w:val="44"/>
          <w:szCs w:val="44"/>
        </w:rPr>
        <w:t>年度</w:t>
      </w:r>
    </w:p>
    <w:p w14:paraId="0BAA7EFC">
      <w:pPr>
        <w:pStyle w:val="8"/>
        <w:jc w:val="center"/>
        <w:outlineLvl w:val="0"/>
        <w:rPr>
          <w:rFonts w:hint="eastAsia" w:ascii="方正小标宋简体" w:hAnsi="宋体" w:eastAsia="方正小标宋简体"/>
          <w:sz w:val="44"/>
          <w:szCs w:val="44"/>
        </w:rPr>
      </w:pPr>
      <w:bookmarkStart w:id="6" w:name="_Toc14936"/>
      <w:bookmarkStart w:id="7" w:name="_Toc18469"/>
      <w:bookmarkStart w:id="8" w:name="_Toc12468"/>
      <w:r>
        <w:rPr>
          <w:rFonts w:hint="eastAsia" w:ascii="方正小标宋简体" w:hAnsi="宋体" w:eastAsia="方正小标宋简体"/>
          <w:sz w:val="44"/>
          <w:szCs w:val="44"/>
        </w:rPr>
        <w:t>攀枝花市仁和区金江镇人民政府</w:t>
      </w:r>
      <w:bookmarkEnd w:id="6"/>
      <w:bookmarkEnd w:id="7"/>
      <w:bookmarkEnd w:id="8"/>
    </w:p>
    <w:p w14:paraId="323E4A6F">
      <w:pPr>
        <w:pStyle w:val="8"/>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单位决算</w:t>
      </w:r>
    </w:p>
    <w:p w14:paraId="3DEE4D93">
      <w:pPr>
        <w:rPr>
          <w:rFonts w:ascii="Times New Roman" w:hAnsi="Times New Roman"/>
        </w:rPr>
      </w:pPr>
    </w:p>
    <w:p w14:paraId="6C67B29D">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7214EAA8">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0C8764F3">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14:paraId="3ACDEAAF">
      <w:pPr>
        <w:widowControl/>
        <w:jc w:val="center"/>
        <w:rPr>
          <w:rFonts w:hint="eastAsia" w:ascii="Times New Roman" w:hAnsi="Times New Roman" w:eastAsia="黑体"/>
          <w:color w:val="auto"/>
          <w:sz w:val="48"/>
          <w:szCs w:val="48"/>
          <w:highlight w:val="none"/>
        </w:rPr>
      </w:pPr>
    </w:p>
    <w:p w14:paraId="13A9FD07">
      <w:pPr>
        <w:widowControl/>
        <w:jc w:val="center"/>
        <w:rPr>
          <w:rFonts w:hint="eastAsia" w:ascii="Times New Roman" w:hAnsi="Times New Roman" w:eastAsia="黑体"/>
          <w:color w:val="auto"/>
          <w:sz w:val="48"/>
          <w:szCs w:val="48"/>
          <w:highlight w:val="none"/>
        </w:rPr>
      </w:pPr>
    </w:p>
    <w:p w14:paraId="73781FC9">
      <w:pPr>
        <w:widowControl/>
        <w:jc w:val="center"/>
        <w:rPr>
          <w:rFonts w:hint="eastAsia" w:ascii="Times New Roman" w:hAnsi="Times New Roman" w:eastAsia="黑体"/>
          <w:color w:val="auto"/>
          <w:sz w:val="48"/>
          <w:szCs w:val="48"/>
          <w:highlight w:val="none"/>
        </w:rPr>
      </w:pPr>
    </w:p>
    <w:p w14:paraId="467F8BC8">
      <w:pPr>
        <w:widowControl/>
        <w:jc w:val="center"/>
        <w:rPr>
          <w:rFonts w:hint="eastAsia" w:ascii="Times New Roman" w:hAnsi="Times New Roman" w:eastAsia="黑体"/>
          <w:color w:val="auto"/>
          <w:sz w:val="48"/>
          <w:szCs w:val="48"/>
          <w:highlight w:val="none"/>
        </w:rPr>
      </w:pPr>
    </w:p>
    <w:p w14:paraId="48287F93">
      <w:pPr>
        <w:widowControl/>
        <w:jc w:val="center"/>
        <w:rPr>
          <w:rFonts w:hint="eastAsia" w:ascii="Times New Roman" w:hAnsi="Times New Roman" w:eastAsia="黑体"/>
          <w:color w:val="auto"/>
          <w:sz w:val="48"/>
          <w:szCs w:val="48"/>
          <w:highlight w:val="none"/>
        </w:rPr>
      </w:pPr>
    </w:p>
    <w:p w14:paraId="311B144D">
      <w:pPr>
        <w:widowControl/>
        <w:jc w:val="center"/>
        <w:rPr>
          <w:rFonts w:hint="eastAsia" w:ascii="Times New Roman" w:hAnsi="Times New Roman" w:eastAsia="黑体"/>
          <w:color w:val="auto"/>
          <w:sz w:val="48"/>
          <w:szCs w:val="48"/>
          <w:highlight w:val="none"/>
        </w:rPr>
      </w:pPr>
    </w:p>
    <w:p w14:paraId="58ED7938">
      <w:pPr>
        <w:widowControl/>
        <w:jc w:val="center"/>
        <w:rPr>
          <w:rFonts w:hint="eastAsia" w:ascii="Times New Roman" w:hAnsi="Times New Roman" w:eastAsia="黑体"/>
          <w:color w:val="auto"/>
          <w:sz w:val="48"/>
          <w:szCs w:val="48"/>
          <w:highlight w:val="none"/>
        </w:rPr>
      </w:pPr>
    </w:p>
    <w:p w14:paraId="4B9BD036">
      <w:pPr>
        <w:widowControl/>
        <w:jc w:val="center"/>
        <w:rPr>
          <w:rFonts w:hint="eastAsia" w:ascii="Times New Roman" w:hAnsi="Times New Roman" w:eastAsia="黑体"/>
          <w:color w:val="auto"/>
          <w:sz w:val="48"/>
          <w:szCs w:val="48"/>
          <w:highlight w:val="none"/>
        </w:rPr>
      </w:pPr>
    </w:p>
    <w:p w14:paraId="5E529456">
      <w:pPr>
        <w:widowControl/>
        <w:jc w:val="center"/>
        <w:rPr>
          <w:rFonts w:hint="eastAsia" w:ascii="Times New Roman" w:hAnsi="Times New Roman" w:eastAsia="黑体"/>
          <w:color w:val="auto"/>
          <w:sz w:val="48"/>
          <w:szCs w:val="48"/>
          <w:highlight w:val="none"/>
        </w:rPr>
      </w:pPr>
    </w:p>
    <w:p w14:paraId="5CEDE840">
      <w:pPr>
        <w:widowControl/>
        <w:jc w:val="center"/>
        <w:rPr>
          <w:rFonts w:hint="eastAsia" w:ascii="Times New Roman" w:hAnsi="Times New Roman" w:eastAsia="黑体"/>
          <w:color w:val="auto"/>
          <w:sz w:val="48"/>
          <w:szCs w:val="48"/>
          <w:highlight w:val="none"/>
        </w:rPr>
      </w:pPr>
    </w:p>
    <w:p w14:paraId="0871D7FE">
      <w:pPr>
        <w:widowControl/>
        <w:jc w:val="center"/>
        <w:rPr>
          <w:rFonts w:hint="eastAsia" w:ascii="Times New Roman" w:hAnsi="Times New Roman" w:eastAsia="黑体"/>
          <w:color w:val="auto"/>
          <w:sz w:val="48"/>
          <w:szCs w:val="48"/>
          <w:highlight w:val="none"/>
        </w:rPr>
      </w:pPr>
    </w:p>
    <w:p w14:paraId="1B6AD939">
      <w:pPr>
        <w:widowControl/>
        <w:jc w:val="center"/>
        <w:rPr>
          <w:rFonts w:hint="eastAsia" w:ascii="Times New Roman" w:hAnsi="Times New Roman" w:eastAsia="黑体"/>
          <w:color w:val="auto"/>
          <w:sz w:val="48"/>
          <w:szCs w:val="48"/>
          <w:highlight w:val="none"/>
        </w:rPr>
      </w:pPr>
    </w:p>
    <w:p w14:paraId="34731A1D">
      <w:pPr>
        <w:widowControl/>
        <w:jc w:val="center"/>
        <w:rPr>
          <w:rFonts w:hint="eastAsia" w:ascii="Times New Roman" w:hAnsi="Times New Roman" w:eastAsia="黑体"/>
          <w:color w:val="auto"/>
          <w:sz w:val="48"/>
          <w:szCs w:val="48"/>
          <w:highlight w:val="none"/>
        </w:rPr>
      </w:pPr>
    </w:p>
    <w:p w14:paraId="68D5FBAF">
      <w:pPr>
        <w:widowControl/>
        <w:jc w:val="center"/>
        <w:rPr>
          <w:rFonts w:ascii="Times New Roman" w:hAnsi="Times New Roman" w:eastAsia="黑体" w:cstheme="minorBidi"/>
          <w:color w:val="auto"/>
          <w:sz w:val="28"/>
          <w:szCs w:val="28"/>
          <w:highlight w:val="none"/>
        </w:rPr>
      </w:pPr>
      <w:r>
        <w:rPr>
          <w:rFonts w:hint="eastAsia" w:ascii="Times New Roman" w:hAnsi="Times New Roman" w:eastAsia="黑体"/>
          <w:color w:val="auto"/>
          <w:sz w:val="48"/>
          <w:szCs w:val="48"/>
          <w:highlight w:val="none"/>
        </w:rPr>
        <w:t>目录</w:t>
      </w:r>
    </w:p>
    <w:p w14:paraId="321FFC79">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18</w:t>
      </w:r>
      <w:r>
        <w:rPr>
          <w:rFonts w:hint="eastAsia" w:ascii="Times New Roman" w:hAnsi="Times New Roman" w:eastAsia="仿宋_GB2312" w:cs="仿宋_GB2312"/>
          <w:color w:val="auto"/>
          <w:sz w:val="32"/>
          <w:szCs w:val="32"/>
          <w:highlight w:val="none"/>
        </w:rPr>
        <w:t>日</w:t>
      </w:r>
    </w:p>
    <w:p w14:paraId="47CE93E4">
      <w:pPr>
        <w:rPr>
          <w:rFonts w:ascii="Times New Roman" w:hAnsi="Times New Roman"/>
          <w:color w:val="auto"/>
          <w:highlight w:val="none"/>
        </w:rPr>
      </w:pPr>
    </w:p>
    <w:sdt>
      <w:sdtPr>
        <w:rPr>
          <w:rFonts w:ascii="宋体" w:hAnsi="宋体" w:eastAsia="宋体" w:cs="Times New Roman"/>
          <w:kern w:val="2"/>
          <w:sz w:val="21"/>
          <w:szCs w:val="24"/>
          <w:lang w:val="en-US" w:eastAsia="zh-CN" w:bidi="ar-SA"/>
        </w:rPr>
        <w:id w:val="147461012"/>
        <w15:color w:val="DBDBDB"/>
        <w:docPartObj>
          <w:docPartGallery w:val="Table of Contents"/>
          <w:docPartUnique/>
        </w:docPartObj>
      </w:sdtPr>
      <w:sdtContent>
        <w:p w14:paraId="08C03009">
          <w:pPr>
            <w:spacing w:before="0" w:beforeLines="0" w:after="0" w:afterLines="0" w:line="240" w:lineRule="auto"/>
            <w:ind w:left="0" w:leftChars="0" w:right="0" w:rightChars="0" w:firstLine="0" w:firstLineChars="0"/>
            <w:jc w:val="center"/>
          </w:pPr>
          <w:bookmarkStart w:id="9" w:name="_Toc15396599"/>
          <w:bookmarkStart w:id="10" w:name="_Toc15377196"/>
        </w:p>
        <w:p w14:paraId="60130F31">
          <w:pPr>
            <w:pStyle w:val="13"/>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TOC \o "1-3" \h \u </w:instrText>
          </w:r>
          <w:r>
            <w:rPr>
              <w:rFonts w:hint="eastAsia" w:ascii="仿宋" w:hAnsi="仿宋" w:eastAsia="仿宋" w:cs="仿宋"/>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_Toc7420 </w:instrText>
          </w:r>
          <w:r>
            <w:rPr>
              <w:rFonts w:hint="eastAsia" w:ascii="仿宋" w:hAnsi="仿宋" w:eastAsia="仿宋" w:cs="仿宋"/>
            </w:rPr>
            <w:fldChar w:fldCharType="separate"/>
          </w:r>
          <w:r>
            <w:rPr>
              <w:rFonts w:hint="eastAsia" w:ascii="仿宋" w:hAnsi="仿宋" w:eastAsia="仿宋" w:cs="仿宋"/>
              <w:highlight w:val="none"/>
            </w:rPr>
            <w:t>第一部分</w:t>
          </w: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w:t>
          </w:r>
          <w:r>
            <w:rPr>
              <w:rFonts w:hint="eastAsia" w:ascii="仿宋" w:hAnsi="仿宋" w:eastAsia="仿宋" w:cs="仿宋"/>
              <w:bCs w:val="0"/>
              <w:highlight w:val="none"/>
            </w:rPr>
            <w:t>部门概况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_Toc7420 \h </w:instrText>
          </w:r>
          <w:r>
            <w:rPr>
              <w:rFonts w:hint="eastAsia" w:ascii="仿宋" w:hAnsi="仿宋" w:eastAsia="仿宋" w:cs="仿宋"/>
            </w:rPr>
            <w:fldChar w:fldCharType="separate"/>
          </w:r>
          <w:r>
            <w:rPr>
              <w:rFonts w:hint="eastAsia" w:ascii="仿宋" w:hAnsi="仿宋" w:eastAsia="仿宋" w:cs="仿宋"/>
            </w:rPr>
            <w:t>- 3 -</w:t>
          </w:r>
          <w:r>
            <w:rPr>
              <w:rFonts w:hint="eastAsia" w:ascii="仿宋" w:hAnsi="仿宋" w:eastAsia="仿宋" w:cs="仿宋"/>
            </w:rPr>
            <w:fldChar w:fldCharType="end"/>
          </w:r>
          <w:r>
            <w:rPr>
              <w:rFonts w:hint="eastAsia" w:ascii="仿宋" w:hAnsi="仿宋" w:eastAsia="仿宋" w:cs="仿宋"/>
            </w:rPr>
            <w:fldChar w:fldCharType="end"/>
          </w:r>
        </w:p>
        <w:p w14:paraId="45D5FEA4">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_Toc16821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一、 主要职责</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_Toc16821 \h </w:instrText>
          </w:r>
          <w:r>
            <w:rPr>
              <w:rFonts w:hint="eastAsia" w:ascii="仿宋" w:hAnsi="仿宋" w:eastAsia="仿宋" w:cs="仿宋"/>
              <w:sz w:val="24"/>
              <w:szCs w:val="24"/>
            </w:rPr>
            <w:fldChar w:fldCharType="separate"/>
          </w:r>
          <w:r>
            <w:rPr>
              <w:rFonts w:hint="eastAsia" w:ascii="仿宋" w:hAnsi="仿宋" w:eastAsia="仿宋" w:cs="仿宋"/>
              <w:sz w:val="24"/>
              <w:szCs w:val="24"/>
            </w:rPr>
            <w:t>- 3 -</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1D2D9AD">
          <w:pPr>
            <w:pStyle w:val="14"/>
            <w:tabs>
              <w:tab w:val="right" w:leader="dot" w:pos="8306"/>
              <w:tab w:val="clear" w:pos="8296"/>
            </w:tabs>
            <w:rPr>
              <w:rFonts w:hint="eastAsia" w:ascii="仿宋" w:hAnsi="仿宋" w:eastAsia="仿宋" w:cs="仿宋"/>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_Toc9545 </w:instrText>
          </w:r>
          <w:r>
            <w:rPr>
              <w:rFonts w:hint="eastAsia" w:ascii="仿宋" w:hAnsi="仿宋" w:eastAsia="仿宋" w:cs="仿宋"/>
              <w:sz w:val="24"/>
              <w:szCs w:val="24"/>
            </w:rPr>
            <w:fldChar w:fldCharType="separate"/>
          </w:r>
          <w:r>
            <w:rPr>
              <w:rFonts w:hint="eastAsia" w:ascii="仿宋" w:hAnsi="仿宋" w:eastAsia="仿宋" w:cs="仿宋"/>
              <w:sz w:val="24"/>
              <w:szCs w:val="24"/>
            </w:rPr>
            <w:t>二、机构设置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_Toc9545 \h </w:instrText>
          </w:r>
          <w:r>
            <w:rPr>
              <w:rFonts w:hint="eastAsia" w:ascii="仿宋" w:hAnsi="仿宋" w:eastAsia="仿宋" w:cs="仿宋"/>
              <w:sz w:val="24"/>
              <w:szCs w:val="24"/>
            </w:rPr>
            <w:fldChar w:fldCharType="separate"/>
          </w:r>
          <w:r>
            <w:rPr>
              <w:rFonts w:hint="eastAsia" w:ascii="仿宋" w:hAnsi="仿宋" w:eastAsia="仿宋" w:cs="仿宋"/>
              <w:sz w:val="24"/>
              <w:szCs w:val="24"/>
            </w:rPr>
            <w:t>- 4 -</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4A65EB6">
          <w:pPr>
            <w:pStyle w:val="13"/>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_Toc6662 </w:instrText>
          </w:r>
          <w:r>
            <w:rPr>
              <w:rFonts w:hint="eastAsia" w:ascii="仿宋" w:hAnsi="仿宋" w:eastAsia="仿宋" w:cs="仿宋"/>
            </w:rPr>
            <w:fldChar w:fldCharType="separate"/>
          </w:r>
          <w:r>
            <w:rPr>
              <w:rFonts w:hint="eastAsia" w:ascii="仿宋" w:hAnsi="仿宋" w:eastAsia="仿宋" w:cs="仿宋"/>
              <w:highlight w:val="none"/>
            </w:rPr>
            <w:t>第二部分</w:t>
          </w: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w:t>
          </w:r>
          <w:r>
            <w:rPr>
              <w:rFonts w:hint="eastAsia" w:ascii="仿宋" w:hAnsi="仿宋" w:eastAsia="仿宋" w:cs="仿宋"/>
              <w:highlight w:val="none"/>
              <w:lang w:val="en-US" w:eastAsia="zh-CN"/>
            </w:rPr>
            <w:t>2024年度</w:t>
          </w:r>
          <w:r>
            <w:rPr>
              <w:rFonts w:hint="eastAsia" w:ascii="仿宋" w:hAnsi="仿宋" w:eastAsia="仿宋" w:cs="仿宋"/>
              <w:highlight w:val="none"/>
            </w:rPr>
            <w:t>部门决算情况说明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_Toc6662 \h </w:instrText>
          </w:r>
          <w:r>
            <w:rPr>
              <w:rFonts w:hint="eastAsia" w:ascii="仿宋" w:hAnsi="仿宋" w:eastAsia="仿宋" w:cs="仿宋"/>
            </w:rPr>
            <w:fldChar w:fldCharType="separate"/>
          </w:r>
          <w:r>
            <w:rPr>
              <w:rFonts w:hint="eastAsia" w:ascii="仿宋" w:hAnsi="仿宋" w:eastAsia="仿宋" w:cs="仿宋"/>
            </w:rPr>
            <w:t>- 5 -</w:t>
          </w:r>
          <w:r>
            <w:rPr>
              <w:rFonts w:hint="eastAsia" w:ascii="仿宋" w:hAnsi="仿宋" w:eastAsia="仿宋" w:cs="仿宋"/>
            </w:rPr>
            <w:fldChar w:fldCharType="end"/>
          </w:r>
          <w:r>
            <w:rPr>
              <w:rFonts w:hint="eastAsia" w:ascii="仿宋" w:hAnsi="仿宋" w:eastAsia="仿宋" w:cs="仿宋"/>
            </w:rPr>
            <w:fldChar w:fldCharType="end"/>
          </w:r>
        </w:p>
        <w:p w14:paraId="55F6ED1A">
          <w:pPr>
            <w:pStyle w:val="14"/>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_Toc24408 </w:instrText>
          </w:r>
          <w:r>
            <w:rPr>
              <w:rFonts w:hint="eastAsia" w:ascii="仿宋" w:hAnsi="仿宋" w:eastAsia="仿宋" w:cs="仿宋"/>
            </w:rPr>
            <w:fldChar w:fldCharType="separate"/>
          </w:r>
          <w:r>
            <w:rPr>
              <w:rFonts w:hint="eastAsia" w:ascii="仿宋" w:hAnsi="仿宋" w:eastAsia="仿宋" w:cs="仿宋"/>
              <w:szCs w:val="32"/>
              <w:highlight w:val="none"/>
              <w:lang w:eastAsia="zh-CN"/>
            </w:rPr>
            <w:t>一、</w:t>
          </w:r>
          <w:r>
            <w:rPr>
              <w:rFonts w:hint="eastAsia" w:ascii="仿宋" w:hAnsi="仿宋" w:eastAsia="仿宋" w:cs="仿宋"/>
              <w:szCs w:val="32"/>
              <w:highlight w:val="none"/>
            </w:rPr>
            <w:t>收</w:t>
          </w:r>
          <w:r>
            <w:rPr>
              <w:rFonts w:hint="eastAsia" w:ascii="仿宋" w:hAnsi="仿宋" w:eastAsia="仿宋" w:cs="仿宋"/>
              <w:highlight w:val="none"/>
            </w:rPr>
            <w:t>入支出决算总体情况说明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_Toc24408 \h </w:instrText>
          </w:r>
          <w:r>
            <w:rPr>
              <w:rFonts w:hint="eastAsia" w:ascii="仿宋" w:hAnsi="仿宋" w:eastAsia="仿宋" w:cs="仿宋"/>
            </w:rPr>
            <w:fldChar w:fldCharType="separate"/>
          </w:r>
          <w:r>
            <w:rPr>
              <w:rFonts w:hint="eastAsia" w:ascii="仿宋" w:hAnsi="仿宋" w:eastAsia="仿宋" w:cs="仿宋"/>
            </w:rPr>
            <w:t>- 5 -</w:t>
          </w:r>
          <w:r>
            <w:rPr>
              <w:rFonts w:hint="eastAsia" w:ascii="仿宋" w:hAnsi="仿宋" w:eastAsia="仿宋" w:cs="仿宋"/>
            </w:rPr>
            <w:fldChar w:fldCharType="end"/>
          </w:r>
          <w:r>
            <w:rPr>
              <w:rFonts w:hint="eastAsia" w:ascii="仿宋" w:hAnsi="仿宋" w:eastAsia="仿宋" w:cs="仿宋"/>
            </w:rPr>
            <w:fldChar w:fldCharType="end"/>
          </w:r>
        </w:p>
        <w:p w14:paraId="5A80F0A7">
          <w:pPr>
            <w:pStyle w:val="14"/>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_Toc24311 </w:instrText>
          </w:r>
          <w:r>
            <w:rPr>
              <w:rFonts w:hint="eastAsia" w:ascii="仿宋" w:hAnsi="仿宋" w:eastAsia="仿宋" w:cs="仿宋"/>
            </w:rPr>
            <w:fldChar w:fldCharType="separate"/>
          </w:r>
          <w:r>
            <w:rPr>
              <w:rFonts w:hint="eastAsia" w:ascii="仿宋" w:hAnsi="仿宋" w:eastAsia="仿宋" w:cs="仿宋"/>
              <w:szCs w:val="32"/>
              <w:highlight w:val="none"/>
              <w:lang w:eastAsia="zh-CN"/>
            </w:rPr>
            <w:t>二、收入决算情况说明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_Toc24311 \h </w:instrText>
          </w:r>
          <w:r>
            <w:rPr>
              <w:rFonts w:hint="eastAsia" w:ascii="仿宋" w:hAnsi="仿宋" w:eastAsia="仿宋" w:cs="仿宋"/>
            </w:rPr>
            <w:fldChar w:fldCharType="separate"/>
          </w:r>
          <w:r>
            <w:rPr>
              <w:rFonts w:hint="eastAsia" w:ascii="仿宋" w:hAnsi="仿宋" w:eastAsia="仿宋" w:cs="仿宋"/>
            </w:rPr>
            <w:t>- 5 -</w:t>
          </w:r>
          <w:r>
            <w:rPr>
              <w:rFonts w:hint="eastAsia" w:ascii="仿宋" w:hAnsi="仿宋" w:eastAsia="仿宋" w:cs="仿宋"/>
            </w:rPr>
            <w:fldChar w:fldCharType="end"/>
          </w:r>
          <w:r>
            <w:rPr>
              <w:rFonts w:hint="eastAsia" w:ascii="仿宋" w:hAnsi="仿宋" w:eastAsia="仿宋" w:cs="仿宋"/>
            </w:rPr>
            <w:fldChar w:fldCharType="end"/>
          </w:r>
        </w:p>
        <w:p w14:paraId="52C52ADB">
          <w:pPr>
            <w:pStyle w:val="14"/>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_Toc714 </w:instrText>
          </w:r>
          <w:r>
            <w:rPr>
              <w:rFonts w:hint="eastAsia" w:ascii="仿宋" w:hAnsi="仿宋" w:eastAsia="仿宋" w:cs="仿宋"/>
            </w:rPr>
            <w:fldChar w:fldCharType="separate"/>
          </w:r>
          <w:r>
            <w:rPr>
              <w:rFonts w:hint="eastAsia" w:ascii="仿宋" w:hAnsi="仿宋" w:eastAsia="仿宋" w:cs="仿宋"/>
              <w:szCs w:val="32"/>
              <w:highlight w:val="none"/>
              <w:lang w:eastAsia="zh-CN"/>
            </w:rPr>
            <w:t>三、</w:t>
          </w:r>
          <w:r>
            <w:rPr>
              <w:rFonts w:hint="eastAsia" w:ascii="仿宋" w:hAnsi="仿宋" w:eastAsia="仿宋" w:cs="仿宋"/>
              <w:szCs w:val="32"/>
              <w:highlight w:val="none"/>
            </w:rPr>
            <w:t>支</w:t>
          </w:r>
          <w:r>
            <w:rPr>
              <w:rFonts w:hint="eastAsia" w:ascii="仿宋" w:hAnsi="仿宋" w:eastAsia="仿宋" w:cs="仿宋"/>
              <w:highlight w:val="none"/>
            </w:rPr>
            <w:t>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_Toc714 \h </w:instrText>
          </w:r>
          <w:r>
            <w:rPr>
              <w:rFonts w:hint="eastAsia" w:ascii="仿宋" w:hAnsi="仿宋" w:eastAsia="仿宋" w:cs="仿宋"/>
            </w:rPr>
            <w:fldChar w:fldCharType="separate"/>
          </w:r>
          <w:r>
            <w:rPr>
              <w:rFonts w:hint="eastAsia" w:ascii="仿宋" w:hAnsi="仿宋" w:eastAsia="仿宋" w:cs="仿宋"/>
            </w:rPr>
            <w:t>- 6 -</w:t>
          </w:r>
          <w:r>
            <w:rPr>
              <w:rFonts w:hint="eastAsia" w:ascii="仿宋" w:hAnsi="仿宋" w:eastAsia="仿宋" w:cs="仿宋"/>
            </w:rPr>
            <w:fldChar w:fldCharType="end"/>
          </w:r>
          <w:r>
            <w:rPr>
              <w:rFonts w:hint="eastAsia" w:ascii="仿宋" w:hAnsi="仿宋" w:eastAsia="仿宋" w:cs="仿宋"/>
            </w:rPr>
            <w:fldChar w:fldCharType="end"/>
          </w:r>
        </w:p>
        <w:p w14:paraId="425E38D3">
          <w:pPr>
            <w:pStyle w:val="14"/>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_Toc15091 </w:instrText>
          </w:r>
          <w:r>
            <w:rPr>
              <w:rFonts w:hint="eastAsia" w:ascii="仿宋" w:hAnsi="仿宋" w:eastAsia="仿宋" w:cs="仿宋"/>
            </w:rPr>
            <w:fldChar w:fldCharType="separate"/>
          </w:r>
          <w:r>
            <w:rPr>
              <w:rFonts w:hint="eastAsia" w:ascii="仿宋" w:hAnsi="仿宋" w:eastAsia="仿宋" w:cs="仿宋"/>
              <w:szCs w:val="32"/>
              <w:highlight w:val="none"/>
            </w:rPr>
            <w:t>四、财</w:t>
          </w:r>
          <w:r>
            <w:rPr>
              <w:rFonts w:hint="eastAsia" w:ascii="仿宋" w:hAnsi="仿宋" w:eastAsia="仿宋" w:cs="仿宋"/>
              <w:highlight w:val="none"/>
            </w:rPr>
            <w:t>政拨款收入支出决算总体情况说明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_Toc15091 \h </w:instrText>
          </w:r>
          <w:r>
            <w:rPr>
              <w:rFonts w:hint="eastAsia" w:ascii="仿宋" w:hAnsi="仿宋" w:eastAsia="仿宋" w:cs="仿宋"/>
            </w:rPr>
            <w:fldChar w:fldCharType="separate"/>
          </w:r>
          <w:r>
            <w:rPr>
              <w:rFonts w:hint="eastAsia" w:ascii="仿宋" w:hAnsi="仿宋" w:eastAsia="仿宋" w:cs="仿宋"/>
            </w:rPr>
            <w:t>- 7 -</w:t>
          </w:r>
          <w:r>
            <w:rPr>
              <w:rFonts w:hint="eastAsia" w:ascii="仿宋" w:hAnsi="仿宋" w:eastAsia="仿宋" w:cs="仿宋"/>
            </w:rPr>
            <w:fldChar w:fldCharType="end"/>
          </w:r>
          <w:r>
            <w:rPr>
              <w:rFonts w:hint="eastAsia" w:ascii="仿宋" w:hAnsi="仿宋" w:eastAsia="仿宋" w:cs="仿宋"/>
            </w:rPr>
            <w:fldChar w:fldCharType="end"/>
          </w:r>
        </w:p>
        <w:p w14:paraId="44F76BB3">
          <w:pPr>
            <w:pStyle w:val="14"/>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_Toc17536 </w:instrText>
          </w:r>
          <w:r>
            <w:rPr>
              <w:rFonts w:hint="eastAsia" w:ascii="仿宋" w:hAnsi="仿宋" w:eastAsia="仿宋" w:cs="仿宋"/>
            </w:rPr>
            <w:fldChar w:fldCharType="separate"/>
          </w:r>
          <w:r>
            <w:rPr>
              <w:rFonts w:hint="eastAsia" w:ascii="仿宋" w:hAnsi="仿宋" w:eastAsia="仿宋" w:cs="仿宋"/>
              <w:szCs w:val="32"/>
              <w:highlight w:val="none"/>
            </w:rPr>
            <w:t>五、一</w:t>
          </w:r>
          <w:r>
            <w:rPr>
              <w:rFonts w:hint="eastAsia" w:ascii="仿宋" w:hAnsi="仿宋" w:eastAsia="仿宋" w:cs="仿宋"/>
              <w:highlight w:val="none"/>
            </w:rPr>
            <w:t>般公共预算财政拨款支出决算情况说明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_Toc17536 \h </w:instrText>
          </w:r>
          <w:r>
            <w:rPr>
              <w:rFonts w:hint="eastAsia" w:ascii="仿宋" w:hAnsi="仿宋" w:eastAsia="仿宋" w:cs="仿宋"/>
            </w:rPr>
            <w:fldChar w:fldCharType="separate"/>
          </w:r>
          <w:r>
            <w:rPr>
              <w:rFonts w:hint="eastAsia" w:ascii="仿宋" w:hAnsi="仿宋" w:eastAsia="仿宋" w:cs="仿宋"/>
            </w:rPr>
            <w:t>- 8 -</w:t>
          </w:r>
          <w:r>
            <w:rPr>
              <w:rFonts w:hint="eastAsia" w:ascii="仿宋" w:hAnsi="仿宋" w:eastAsia="仿宋" w:cs="仿宋"/>
            </w:rPr>
            <w:fldChar w:fldCharType="end"/>
          </w:r>
          <w:r>
            <w:rPr>
              <w:rFonts w:hint="eastAsia" w:ascii="仿宋" w:hAnsi="仿宋" w:eastAsia="仿宋" w:cs="仿宋"/>
            </w:rPr>
            <w:fldChar w:fldCharType="end"/>
          </w:r>
        </w:p>
        <w:p w14:paraId="39C9B26B">
          <w:pPr>
            <w:pStyle w:val="9"/>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_Toc31470 </w:instrText>
          </w:r>
          <w:r>
            <w:rPr>
              <w:rFonts w:hint="eastAsia" w:ascii="仿宋" w:hAnsi="仿宋" w:eastAsia="仿宋" w:cs="仿宋"/>
            </w:rPr>
            <w:fldChar w:fldCharType="separate"/>
          </w:r>
          <w:r>
            <w:rPr>
              <w:rFonts w:hint="eastAsia" w:ascii="仿宋" w:hAnsi="仿宋" w:eastAsia="仿宋" w:cs="仿宋"/>
              <w:szCs w:val="32"/>
              <w:highlight w:val="none"/>
            </w:rPr>
            <w:t>（一）一般公共预算财政拨款支出决算总体情况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_Toc31470 \h </w:instrText>
          </w:r>
          <w:r>
            <w:rPr>
              <w:rFonts w:hint="eastAsia" w:ascii="仿宋" w:hAnsi="仿宋" w:eastAsia="仿宋" w:cs="仿宋"/>
            </w:rPr>
            <w:fldChar w:fldCharType="separate"/>
          </w:r>
          <w:r>
            <w:rPr>
              <w:rFonts w:hint="eastAsia" w:ascii="仿宋" w:hAnsi="仿宋" w:eastAsia="仿宋" w:cs="仿宋"/>
            </w:rPr>
            <w:t>- 8 -</w:t>
          </w:r>
          <w:r>
            <w:rPr>
              <w:rFonts w:hint="eastAsia" w:ascii="仿宋" w:hAnsi="仿宋" w:eastAsia="仿宋" w:cs="仿宋"/>
            </w:rPr>
            <w:fldChar w:fldCharType="end"/>
          </w:r>
          <w:r>
            <w:rPr>
              <w:rFonts w:hint="eastAsia" w:ascii="仿宋" w:hAnsi="仿宋" w:eastAsia="仿宋" w:cs="仿宋"/>
            </w:rPr>
            <w:fldChar w:fldCharType="end"/>
          </w:r>
        </w:p>
        <w:p w14:paraId="7DB5E1E0">
          <w:pPr>
            <w:pStyle w:val="9"/>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_Toc25299 </w:instrText>
          </w:r>
          <w:r>
            <w:rPr>
              <w:rFonts w:hint="eastAsia" w:ascii="仿宋" w:hAnsi="仿宋" w:eastAsia="仿宋" w:cs="仿宋"/>
            </w:rPr>
            <w:fldChar w:fldCharType="separate"/>
          </w:r>
          <w:r>
            <w:rPr>
              <w:rFonts w:hint="eastAsia" w:ascii="仿宋" w:hAnsi="仿宋" w:eastAsia="仿宋" w:cs="仿宋"/>
              <w:szCs w:val="32"/>
              <w:highlight w:val="none"/>
            </w:rPr>
            <w:t>（二）一般公共预算财政拨款支出决算结构情况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_Toc25299 \h </w:instrText>
          </w:r>
          <w:r>
            <w:rPr>
              <w:rFonts w:hint="eastAsia" w:ascii="仿宋" w:hAnsi="仿宋" w:eastAsia="仿宋" w:cs="仿宋"/>
            </w:rPr>
            <w:fldChar w:fldCharType="separate"/>
          </w:r>
          <w:r>
            <w:rPr>
              <w:rFonts w:hint="eastAsia" w:ascii="仿宋" w:hAnsi="仿宋" w:eastAsia="仿宋" w:cs="仿宋"/>
            </w:rPr>
            <w:t>- 8 -</w:t>
          </w:r>
          <w:r>
            <w:rPr>
              <w:rFonts w:hint="eastAsia" w:ascii="仿宋" w:hAnsi="仿宋" w:eastAsia="仿宋" w:cs="仿宋"/>
            </w:rPr>
            <w:fldChar w:fldCharType="end"/>
          </w:r>
          <w:r>
            <w:rPr>
              <w:rFonts w:hint="eastAsia" w:ascii="仿宋" w:hAnsi="仿宋" w:eastAsia="仿宋" w:cs="仿宋"/>
            </w:rPr>
            <w:fldChar w:fldCharType="end"/>
          </w:r>
        </w:p>
        <w:p w14:paraId="38405166">
          <w:pPr>
            <w:pStyle w:val="9"/>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_Toc15436 </w:instrText>
          </w:r>
          <w:r>
            <w:rPr>
              <w:rFonts w:hint="eastAsia" w:ascii="仿宋" w:hAnsi="仿宋" w:eastAsia="仿宋" w:cs="仿宋"/>
            </w:rPr>
            <w:fldChar w:fldCharType="separate"/>
          </w:r>
          <w:r>
            <w:rPr>
              <w:rFonts w:hint="eastAsia" w:ascii="仿宋" w:hAnsi="仿宋" w:eastAsia="仿宋" w:cs="仿宋"/>
              <w:szCs w:val="32"/>
              <w:highlight w:val="none"/>
            </w:rPr>
            <w:t>（三）一般公共预算财政拨款支出决算具体情况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_Toc15436 \h </w:instrText>
          </w:r>
          <w:r>
            <w:rPr>
              <w:rFonts w:hint="eastAsia" w:ascii="仿宋" w:hAnsi="仿宋" w:eastAsia="仿宋" w:cs="仿宋"/>
            </w:rPr>
            <w:fldChar w:fldCharType="separate"/>
          </w:r>
          <w:r>
            <w:rPr>
              <w:rFonts w:hint="eastAsia" w:ascii="仿宋" w:hAnsi="仿宋" w:eastAsia="仿宋" w:cs="仿宋"/>
            </w:rPr>
            <w:t>- 9 -</w:t>
          </w:r>
          <w:r>
            <w:rPr>
              <w:rFonts w:hint="eastAsia" w:ascii="仿宋" w:hAnsi="仿宋" w:eastAsia="仿宋" w:cs="仿宋"/>
            </w:rPr>
            <w:fldChar w:fldCharType="end"/>
          </w:r>
          <w:r>
            <w:rPr>
              <w:rFonts w:hint="eastAsia" w:ascii="仿宋" w:hAnsi="仿宋" w:eastAsia="仿宋" w:cs="仿宋"/>
            </w:rPr>
            <w:fldChar w:fldCharType="end"/>
          </w:r>
        </w:p>
        <w:p w14:paraId="1C108132">
          <w:pPr>
            <w:pStyle w:val="14"/>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_Toc9301 </w:instrText>
          </w:r>
          <w:r>
            <w:rPr>
              <w:rFonts w:hint="eastAsia" w:ascii="仿宋" w:hAnsi="仿宋" w:eastAsia="仿宋" w:cs="仿宋"/>
            </w:rPr>
            <w:fldChar w:fldCharType="separate"/>
          </w:r>
          <w:r>
            <w:rPr>
              <w:rFonts w:hint="eastAsia" w:ascii="仿宋" w:hAnsi="仿宋" w:eastAsia="仿宋" w:cs="仿宋"/>
              <w:szCs w:val="32"/>
              <w:highlight w:val="none"/>
            </w:rPr>
            <w:t>六、一</w:t>
          </w:r>
          <w:r>
            <w:rPr>
              <w:rFonts w:hint="eastAsia" w:ascii="仿宋" w:hAnsi="仿宋" w:eastAsia="仿宋" w:cs="仿宋"/>
              <w:highlight w:val="none"/>
            </w:rPr>
            <w:t>般公共预算财政拨款基本支出决算情况说明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_Toc9301 \h </w:instrText>
          </w:r>
          <w:r>
            <w:rPr>
              <w:rFonts w:hint="eastAsia" w:ascii="仿宋" w:hAnsi="仿宋" w:eastAsia="仿宋" w:cs="仿宋"/>
            </w:rPr>
            <w:fldChar w:fldCharType="separate"/>
          </w:r>
          <w:r>
            <w:rPr>
              <w:rFonts w:hint="eastAsia" w:ascii="仿宋" w:hAnsi="仿宋" w:eastAsia="仿宋" w:cs="仿宋"/>
            </w:rPr>
            <w:t>- 13 -</w:t>
          </w:r>
          <w:r>
            <w:rPr>
              <w:rFonts w:hint="eastAsia" w:ascii="仿宋" w:hAnsi="仿宋" w:eastAsia="仿宋" w:cs="仿宋"/>
            </w:rPr>
            <w:fldChar w:fldCharType="end"/>
          </w:r>
          <w:r>
            <w:rPr>
              <w:rFonts w:hint="eastAsia" w:ascii="仿宋" w:hAnsi="仿宋" w:eastAsia="仿宋" w:cs="仿宋"/>
            </w:rPr>
            <w:fldChar w:fldCharType="end"/>
          </w:r>
        </w:p>
        <w:p w14:paraId="79916E6C">
          <w:pPr>
            <w:pStyle w:val="14"/>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_Toc22285 </w:instrText>
          </w:r>
          <w:r>
            <w:rPr>
              <w:rFonts w:hint="eastAsia" w:ascii="仿宋" w:hAnsi="仿宋" w:eastAsia="仿宋" w:cs="仿宋"/>
            </w:rPr>
            <w:fldChar w:fldCharType="separate"/>
          </w:r>
          <w:r>
            <w:rPr>
              <w:rFonts w:hint="eastAsia" w:ascii="仿宋" w:hAnsi="仿宋" w:eastAsia="仿宋" w:cs="仿宋"/>
              <w:szCs w:val="32"/>
              <w:highlight w:val="none"/>
            </w:rPr>
            <w:t>七、</w:t>
          </w:r>
          <w:r>
            <w:rPr>
              <w:rFonts w:hint="eastAsia" w:ascii="仿宋" w:hAnsi="仿宋" w:eastAsia="仿宋" w:cs="仿宋"/>
              <w:highlight w:val="none"/>
            </w:rPr>
            <w:t>财政拨款“三公”经费支出决算情况说明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_Toc22285 \h </w:instrText>
          </w:r>
          <w:r>
            <w:rPr>
              <w:rFonts w:hint="eastAsia" w:ascii="仿宋" w:hAnsi="仿宋" w:eastAsia="仿宋" w:cs="仿宋"/>
            </w:rPr>
            <w:fldChar w:fldCharType="separate"/>
          </w:r>
          <w:r>
            <w:rPr>
              <w:rFonts w:hint="eastAsia" w:ascii="仿宋" w:hAnsi="仿宋" w:eastAsia="仿宋" w:cs="仿宋"/>
            </w:rPr>
            <w:t>- 14 -</w:t>
          </w:r>
          <w:r>
            <w:rPr>
              <w:rFonts w:hint="eastAsia" w:ascii="仿宋" w:hAnsi="仿宋" w:eastAsia="仿宋" w:cs="仿宋"/>
            </w:rPr>
            <w:fldChar w:fldCharType="end"/>
          </w:r>
          <w:r>
            <w:rPr>
              <w:rFonts w:hint="eastAsia" w:ascii="仿宋" w:hAnsi="仿宋" w:eastAsia="仿宋" w:cs="仿宋"/>
            </w:rPr>
            <w:fldChar w:fldCharType="end"/>
          </w:r>
        </w:p>
        <w:p w14:paraId="7B038C06">
          <w:pPr>
            <w:pStyle w:val="9"/>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_Toc26076 </w:instrText>
          </w:r>
          <w:r>
            <w:rPr>
              <w:rFonts w:hint="eastAsia" w:ascii="仿宋" w:hAnsi="仿宋" w:eastAsia="仿宋" w:cs="仿宋"/>
            </w:rPr>
            <w:fldChar w:fldCharType="separate"/>
          </w:r>
          <w:r>
            <w:rPr>
              <w:rFonts w:hint="eastAsia" w:ascii="仿宋" w:hAnsi="仿宋" w:eastAsia="仿宋" w:cs="仿宋"/>
              <w:szCs w:val="32"/>
              <w:highlight w:val="none"/>
            </w:rPr>
            <w:t>（一）“三公”经费财政拨款支出决算总体情况说明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_Toc26076 \h </w:instrText>
          </w:r>
          <w:r>
            <w:rPr>
              <w:rFonts w:hint="eastAsia" w:ascii="仿宋" w:hAnsi="仿宋" w:eastAsia="仿宋" w:cs="仿宋"/>
            </w:rPr>
            <w:fldChar w:fldCharType="separate"/>
          </w:r>
          <w:r>
            <w:rPr>
              <w:rFonts w:hint="eastAsia" w:ascii="仿宋" w:hAnsi="仿宋" w:eastAsia="仿宋" w:cs="仿宋"/>
            </w:rPr>
            <w:t>- 14 -</w:t>
          </w:r>
          <w:r>
            <w:rPr>
              <w:rFonts w:hint="eastAsia" w:ascii="仿宋" w:hAnsi="仿宋" w:eastAsia="仿宋" w:cs="仿宋"/>
            </w:rPr>
            <w:fldChar w:fldCharType="end"/>
          </w:r>
          <w:r>
            <w:rPr>
              <w:rFonts w:hint="eastAsia" w:ascii="仿宋" w:hAnsi="仿宋" w:eastAsia="仿宋" w:cs="仿宋"/>
            </w:rPr>
            <w:fldChar w:fldCharType="end"/>
          </w:r>
        </w:p>
        <w:p w14:paraId="2C084904">
          <w:pPr>
            <w:pStyle w:val="9"/>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_Toc20028 </w:instrText>
          </w:r>
          <w:r>
            <w:rPr>
              <w:rFonts w:hint="eastAsia" w:ascii="仿宋" w:hAnsi="仿宋" w:eastAsia="仿宋" w:cs="仿宋"/>
            </w:rPr>
            <w:fldChar w:fldCharType="separate"/>
          </w:r>
          <w:r>
            <w:rPr>
              <w:rFonts w:hint="eastAsia" w:ascii="仿宋" w:hAnsi="仿宋" w:eastAsia="仿宋" w:cs="仿宋"/>
              <w:szCs w:val="32"/>
              <w:highlight w:val="none"/>
            </w:rPr>
            <w:t>（二）“三公”经费财政拨款支出决算具体情况说明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_Toc20028 \h </w:instrText>
          </w:r>
          <w:r>
            <w:rPr>
              <w:rFonts w:hint="eastAsia" w:ascii="仿宋" w:hAnsi="仿宋" w:eastAsia="仿宋" w:cs="仿宋"/>
            </w:rPr>
            <w:fldChar w:fldCharType="separate"/>
          </w:r>
          <w:r>
            <w:rPr>
              <w:rFonts w:hint="eastAsia" w:ascii="仿宋" w:hAnsi="仿宋" w:eastAsia="仿宋" w:cs="仿宋"/>
            </w:rPr>
            <w:t>- 14 -</w:t>
          </w:r>
          <w:r>
            <w:rPr>
              <w:rFonts w:hint="eastAsia" w:ascii="仿宋" w:hAnsi="仿宋" w:eastAsia="仿宋" w:cs="仿宋"/>
            </w:rPr>
            <w:fldChar w:fldCharType="end"/>
          </w:r>
          <w:r>
            <w:rPr>
              <w:rFonts w:hint="eastAsia" w:ascii="仿宋" w:hAnsi="仿宋" w:eastAsia="仿宋" w:cs="仿宋"/>
            </w:rPr>
            <w:fldChar w:fldCharType="end"/>
          </w:r>
        </w:p>
        <w:p w14:paraId="2EE86A16">
          <w:pPr>
            <w:pStyle w:val="14"/>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_Toc31142 </w:instrText>
          </w:r>
          <w:r>
            <w:rPr>
              <w:rFonts w:hint="eastAsia" w:ascii="仿宋" w:hAnsi="仿宋" w:eastAsia="仿宋" w:cs="仿宋"/>
            </w:rPr>
            <w:fldChar w:fldCharType="separate"/>
          </w:r>
          <w:r>
            <w:rPr>
              <w:rFonts w:hint="eastAsia" w:ascii="仿宋" w:hAnsi="仿宋" w:eastAsia="仿宋" w:cs="仿宋"/>
              <w:szCs w:val="32"/>
              <w:highlight w:val="none"/>
            </w:rPr>
            <w:t>八、</w:t>
          </w:r>
          <w:r>
            <w:rPr>
              <w:rFonts w:hint="eastAsia" w:ascii="仿宋" w:hAnsi="仿宋" w:eastAsia="仿宋" w:cs="仿宋"/>
              <w:highlight w:val="none"/>
            </w:rPr>
            <w:t>政府性基金预算支出决算情况说明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_Toc31142 \h </w:instrText>
          </w:r>
          <w:r>
            <w:rPr>
              <w:rFonts w:hint="eastAsia" w:ascii="仿宋" w:hAnsi="仿宋" w:eastAsia="仿宋" w:cs="仿宋"/>
            </w:rPr>
            <w:fldChar w:fldCharType="separate"/>
          </w:r>
          <w:r>
            <w:rPr>
              <w:rFonts w:hint="eastAsia" w:ascii="仿宋" w:hAnsi="仿宋" w:eastAsia="仿宋" w:cs="仿宋"/>
            </w:rPr>
            <w:t>- 16 -</w:t>
          </w:r>
          <w:r>
            <w:rPr>
              <w:rFonts w:hint="eastAsia" w:ascii="仿宋" w:hAnsi="仿宋" w:eastAsia="仿宋" w:cs="仿宋"/>
            </w:rPr>
            <w:fldChar w:fldCharType="end"/>
          </w:r>
          <w:r>
            <w:rPr>
              <w:rFonts w:hint="eastAsia" w:ascii="仿宋" w:hAnsi="仿宋" w:eastAsia="仿宋" w:cs="仿宋"/>
            </w:rPr>
            <w:fldChar w:fldCharType="end"/>
          </w:r>
        </w:p>
        <w:p w14:paraId="26C0F698">
          <w:pPr>
            <w:pStyle w:val="14"/>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_Toc8436 </w:instrText>
          </w:r>
          <w:r>
            <w:rPr>
              <w:rFonts w:hint="eastAsia" w:ascii="仿宋" w:hAnsi="仿宋" w:eastAsia="仿宋" w:cs="仿宋"/>
            </w:rPr>
            <w:fldChar w:fldCharType="separate"/>
          </w:r>
          <w:r>
            <w:rPr>
              <w:rFonts w:hint="eastAsia" w:ascii="仿宋" w:hAnsi="仿宋" w:eastAsia="仿宋" w:cs="仿宋"/>
              <w:highlight w:val="none"/>
              <w:lang w:eastAsia="zh-CN"/>
            </w:rPr>
            <w:t>九、</w:t>
          </w:r>
          <w:r>
            <w:rPr>
              <w:rFonts w:hint="eastAsia" w:ascii="仿宋" w:hAnsi="仿宋" w:eastAsia="仿宋" w:cs="仿宋"/>
              <w:highlight w:val="none"/>
            </w:rPr>
            <w:t>国有资本经营预算支出决算情况说明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_Toc8436 \h </w:instrText>
          </w:r>
          <w:r>
            <w:rPr>
              <w:rFonts w:hint="eastAsia" w:ascii="仿宋" w:hAnsi="仿宋" w:eastAsia="仿宋" w:cs="仿宋"/>
            </w:rPr>
            <w:fldChar w:fldCharType="separate"/>
          </w:r>
          <w:r>
            <w:rPr>
              <w:rFonts w:hint="eastAsia" w:ascii="仿宋" w:hAnsi="仿宋" w:eastAsia="仿宋" w:cs="仿宋"/>
            </w:rPr>
            <w:t>- 16 -</w:t>
          </w:r>
          <w:r>
            <w:rPr>
              <w:rFonts w:hint="eastAsia" w:ascii="仿宋" w:hAnsi="仿宋" w:eastAsia="仿宋" w:cs="仿宋"/>
            </w:rPr>
            <w:fldChar w:fldCharType="end"/>
          </w:r>
          <w:r>
            <w:rPr>
              <w:rFonts w:hint="eastAsia" w:ascii="仿宋" w:hAnsi="仿宋" w:eastAsia="仿宋" w:cs="仿宋"/>
            </w:rPr>
            <w:fldChar w:fldCharType="end"/>
          </w:r>
        </w:p>
        <w:p w14:paraId="5FCC24C1">
          <w:pPr>
            <w:pStyle w:val="14"/>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_Toc26838 </w:instrText>
          </w:r>
          <w:r>
            <w:rPr>
              <w:rFonts w:hint="eastAsia" w:ascii="仿宋" w:hAnsi="仿宋" w:eastAsia="仿宋" w:cs="仿宋"/>
            </w:rPr>
            <w:fldChar w:fldCharType="separate"/>
          </w:r>
          <w:r>
            <w:rPr>
              <w:rFonts w:hint="eastAsia" w:ascii="仿宋" w:hAnsi="仿宋" w:eastAsia="仿宋" w:cs="仿宋"/>
              <w:highlight w:val="none"/>
              <w:lang w:eastAsia="zh-CN"/>
            </w:rPr>
            <w:t>十、</w:t>
          </w:r>
          <w:r>
            <w:rPr>
              <w:rFonts w:hint="eastAsia" w:ascii="仿宋" w:hAnsi="仿宋" w:eastAsia="仿宋" w:cs="仿宋"/>
              <w:highlight w:val="none"/>
            </w:rPr>
            <w:t>其他重要事项的情况说明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_Toc26838 \h </w:instrText>
          </w:r>
          <w:r>
            <w:rPr>
              <w:rFonts w:hint="eastAsia" w:ascii="仿宋" w:hAnsi="仿宋" w:eastAsia="仿宋" w:cs="仿宋"/>
            </w:rPr>
            <w:fldChar w:fldCharType="separate"/>
          </w:r>
          <w:r>
            <w:rPr>
              <w:rFonts w:hint="eastAsia" w:ascii="仿宋" w:hAnsi="仿宋" w:eastAsia="仿宋" w:cs="仿宋"/>
            </w:rPr>
            <w:t>- 16 -</w:t>
          </w:r>
          <w:r>
            <w:rPr>
              <w:rFonts w:hint="eastAsia" w:ascii="仿宋" w:hAnsi="仿宋" w:eastAsia="仿宋" w:cs="仿宋"/>
            </w:rPr>
            <w:fldChar w:fldCharType="end"/>
          </w:r>
          <w:r>
            <w:rPr>
              <w:rFonts w:hint="eastAsia" w:ascii="仿宋" w:hAnsi="仿宋" w:eastAsia="仿宋" w:cs="仿宋"/>
            </w:rPr>
            <w:fldChar w:fldCharType="end"/>
          </w:r>
        </w:p>
        <w:p w14:paraId="491D847D">
          <w:pPr>
            <w:pStyle w:val="9"/>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_Toc26748 </w:instrText>
          </w:r>
          <w:r>
            <w:rPr>
              <w:rFonts w:hint="eastAsia" w:ascii="仿宋" w:hAnsi="仿宋" w:eastAsia="仿宋" w:cs="仿宋"/>
            </w:rPr>
            <w:fldChar w:fldCharType="separate"/>
          </w:r>
          <w:r>
            <w:rPr>
              <w:rFonts w:hint="eastAsia" w:ascii="仿宋" w:hAnsi="仿宋" w:eastAsia="仿宋" w:cs="仿宋"/>
              <w:szCs w:val="32"/>
              <w:highlight w:val="none"/>
            </w:rPr>
            <w:t>（一）机关运行经费支出情况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_Toc26748 \h </w:instrText>
          </w:r>
          <w:r>
            <w:rPr>
              <w:rFonts w:hint="eastAsia" w:ascii="仿宋" w:hAnsi="仿宋" w:eastAsia="仿宋" w:cs="仿宋"/>
            </w:rPr>
            <w:fldChar w:fldCharType="separate"/>
          </w:r>
          <w:r>
            <w:rPr>
              <w:rFonts w:hint="eastAsia" w:ascii="仿宋" w:hAnsi="仿宋" w:eastAsia="仿宋" w:cs="仿宋"/>
            </w:rPr>
            <w:t>- 16 -</w:t>
          </w:r>
          <w:r>
            <w:rPr>
              <w:rFonts w:hint="eastAsia" w:ascii="仿宋" w:hAnsi="仿宋" w:eastAsia="仿宋" w:cs="仿宋"/>
            </w:rPr>
            <w:fldChar w:fldCharType="end"/>
          </w:r>
          <w:r>
            <w:rPr>
              <w:rFonts w:hint="eastAsia" w:ascii="仿宋" w:hAnsi="仿宋" w:eastAsia="仿宋" w:cs="仿宋"/>
            </w:rPr>
            <w:fldChar w:fldCharType="end"/>
          </w:r>
        </w:p>
        <w:p w14:paraId="4C15D537">
          <w:pPr>
            <w:pStyle w:val="9"/>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_Toc29081 </w:instrText>
          </w:r>
          <w:r>
            <w:rPr>
              <w:rFonts w:hint="eastAsia" w:ascii="仿宋" w:hAnsi="仿宋" w:eastAsia="仿宋" w:cs="仿宋"/>
            </w:rPr>
            <w:fldChar w:fldCharType="separate"/>
          </w:r>
          <w:r>
            <w:rPr>
              <w:rFonts w:hint="eastAsia" w:ascii="仿宋" w:hAnsi="仿宋" w:eastAsia="仿宋" w:cs="仿宋"/>
              <w:szCs w:val="32"/>
              <w:highlight w:val="none"/>
            </w:rPr>
            <w:t>（二）政府采购支出情况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_Toc29081 \h </w:instrText>
          </w:r>
          <w:r>
            <w:rPr>
              <w:rFonts w:hint="eastAsia" w:ascii="仿宋" w:hAnsi="仿宋" w:eastAsia="仿宋" w:cs="仿宋"/>
            </w:rPr>
            <w:fldChar w:fldCharType="separate"/>
          </w:r>
          <w:r>
            <w:rPr>
              <w:rFonts w:hint="eastAsia" w:ascii="仿宋" w:hAnsi="仿宋" w:eastAsia="仿宋" w:cs="仿宋"/>
            </w:rPr>
            <w:t>- 17 -</w:t>
          </w:r>
          <w:r>
            <w:rPr>
              <w:rFonts w:hint="eastAsia" w:ascii="仿宋" w:hAnsi="仿宋" w:eastAsia="仿宋" w:cs="仿宋"/>
            </w:rPr>
            <w:fldChar w:fldCharType="end"/>
          </w:r>
          <w:r>
            <w:rPr>
              <w:rFonts w:hint="eastAsia" w:ascii="仿宋" w:hAnsi="仿宋" w:eastAsia="仿宋" w:cs="仿宋"/>
            </w:rPr>
            <w:fldChar w:fldCharType="end"/>
          </w:r>
        </w:p>
        <w:p w14:paraId="3A00B23B">
          <w:pPr>
            <w:pStyle w:val="9"/>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_Toc21571 </w:instrText>
          </w:r>
          <w:r>
            <w:rPr>
              <w:rFonts w:hint="eastAsia" w:ascii="仿宋" w:hAnsi="仿宋" w:eastAsia="仿宋" w:cs="仿宋"/>
            </w:rPr>
            <w:fldChar w:fldCharType="separate"/>
          </w:r>
          <w:r>
            <w:rPr>
              <w:rFonts w:hint="eastAsia" w:ascii="仿宋" w:hAnsi="仿宋" w:eastAsia="仿宋" w:cs="仿宋"/>
              <w:szCs w:val="32"/>
              <w:highlight w:val="none"/>
            </w:rPr>
            <w:t>（三）国有资产占有使用情况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_Toc21571 \h </w:instrText>
          </w:r>
          <w:r>
            <w:rPr>
              <w:rFonts w:hint="eastAsia" w:ascii="仿宋" w:hAnsi="仿宋" w:eastAsia="仿宋" w:cs="仿宋"/>
            </w:rPr>
            <w:fldChar w:fldCharType="separate"/>
          </w:r>
          <w:r>
            <w:rPr>
              <w:rFonts w:hint="eastAsia" w:ascii="仿宋" w:hAnsi="仿宋" w:eastAsia="仿宋" w:cs="仿宋"/>
            </w:rPr>
            <w:t>- 17 -</w:t>
          </w:r>
          <w:r>
            <w:rPr>
              <w:rFonts w:hint="eastAsia" w:ascii="仿宋" w:hAnsi="仿宋" w:eastAsia="仿宋" w:cs="仿宋"/>
            </w:rPr>
            <w:fldChar w:fldCharType="end"/>
          </w:r>
          <w:r>
            <w:rPr>
              <w:rFonts w:hint="eastAsia" w:ascii="仿宋" w:hAnsi="仿宋" w:eastAsia="仿宋" w:cs="仿宋"/>
            </w:rPr>
            <w:fldChar w:fldCharType="end"/>
          </w:r>
        </w:p>
        <w:p w14:paraId="67110F35">
          <w:pPr>
            <w:pStyle w:val="9"/>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_Toc12212 </w:instrText>
          </w:r>
          <w:r>
            <w:rPr>
              <w:rFonts w:hint="eastAsia" w:ascii="仿宋" w:hAnsi="仿宋" w:eastAsia="仿宋" w:cs="仿宋"/>
            </w:rPr>
            <w:fldChar w:fldCharType="separate"/>
          </w:r>
          <w:r>
            <w:rPr>
              <w:rFonts w:hint="eastAsia" w:ascii="仿宋" w:hAnsi="仿宋" w:eastAsia="仿宋" w:cs="仿宋"/>
              <w:szCs w:val="32"/>
              <w:highlight w:val="none"/>
            </w:rPr>
            <w:t>（四）预算绩效管理情况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_Toc12212 \h </w:instrText>
          </w:r>
          <w:r>
            <w:rPr>
              <w:rFonts w:hint="eastAsia" w:ascii="仿宋" w:hAnsi="仿宋" w:eastAsia="仿宋" w:cs="仿宋"/>
            </w:rPr>
            <w:fldChar w:fldCharType="separate"/>
          </w:r>
          <w:r>
            <w:rPr>
              <w:rFonts w:hint="eastAsia" w:ascii="仿宋" w:hAnsi="仿宋" w:eastAsia="仿宋" w:cs="仿宋"/>
            </w:rPr>
            <w:t>- 17 -</w:t>
          </w:r>
          <w:r>
            <w:rPr>
              <w:rFonts w:hint="eastAsia" w:ascii="仿宋" w:hAnsi="仿宋" w:eastAsia="仿宋" w:cs="仿宋"/>
            </w:rPr>
            <w:fldChar w:fldCharType="end"/>
          </w:r>
          <w:r>
            <w:rPr>
              <w:rFonts w:hint="eastAsia" w:ascii="仿宋" w:hAnsi="仿宋" w:eastAsia="仿宋" w:cs="仿宋"/>
            </w:rPr>
            <w:fldChar w:fldCharType="end"/>
          </w:r>
        </w:p>
        <w:p w14:paraId="05043E03">
          <w:pPr>
            <w:pStyle w:val="13"/>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_Toc23239 </w:instrText>
          </w:r>
          <w:r>
            <w:rPr>
              <w:rFonts w:hint="eastAsia" w:ascii="仿宋" w:hAnsi="仿宋" w:eastAsia="仿宋" w:cs="仿宋"/>
            </w:rPr>
            <w:fldChar w:fldCharType="separate"/>
          </w:r>
          <w:r>
            <w:rPr>
              <w:rFonts w:hint="eastAsia" w:ascii="仿宋" w:hAnsi="仿宋" w:eastAsia="仿宋" w:cs="仿宋"/>
              <w:szCs w:val="44"/>
              <w:highlight w:val="none"/>
            </w:rPr>
            <w:t>第</w:t>
          </w:r>
          <w:r>
            <w:rPr>
              <w:rFonts w:hint="eastAsia" w:ascii="仿宋" w:hAnsi="仿宋" w:eastAsia="仿宋" w:cs="仿宋"/>
              <w:szCs w:val="44"/>
              <w:highlight w:val="none"/>
              <w:lang w:eastAsia="zh-CN"/>
            </w:rPr>
            <w:t>三</w:t>
          </w:r>
          <w:r>
            <w:rPr>
              <w:rFonts w:hint="eastAsia" w:ascii="仿宋" w:hAnsi="仿宋" w:eastAsia="仿宋" w:cs="仿宋"/>
              <w:szCs w:val="44"/>
              <w:highlight w:val="none"/>
            </w:rPr>
            <w:t>部分</w:t>
          </w:r>
          <w:r>
            <w:rPr>
              <w:rFonts w:hint="eastAsia" w:ascii="仿宋" w:hAnsi="仿宋" w:eastAsia="仿宋" w:cs="仿宋"/>
              <w:szCs w:val="44"/>
              <w:highlight w:val="none"/>
              <w:lang w:val="en-US" w:eastAsia="zh-CN"/>
            </w:rPr>
            <w:t xml:space="preserve">  </w:t>
          </w:r>
          <w:r>
            <w:rPr>
              <w:rFonts w:hint="eastAsia" w:ascii="仿宋" w:hAnsi="仿宋" w:eastAsia="仿宋" w:cs="仿宋"/>
              <w:szCs w:val="44"/>
              <w:highlight w:val="none"/>
            </w:rPr>
            <w:t>名词解释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_Toc23239 \h </w:instrText>
          </w:r>
          <w:r>
            <w:rPr>
              <w:rFonts w:hint="eastAsia" w:ascii="仿宋" w:hAnsi="仿宋" w:eastAsia="仿宋" w:cs="仿宋"/>
            </w:rPr>
            <w:fldChar w:fldCharType="separate"/>
          </w:r>
          <w:r>
            <w:rPr>
              <w:rFonts w:hint="eastAsia" w:ascii="仿宋" w:hAnsi="仿宋" w:eastAsia="仿宋" w:cs="仿宋"/>
            </w:rPr>
            <w:t>- 18 -</w:t>
          </w:r>
          <w:r>
            <w:rPr>
              <w:rFonts w:hint="eastAsia" w:ascii="仿宋" w:hAnsi="仿宋" w:eastAsia="仿宋" w:cs="仿宋"/>
            </w:rPr>
            <w:fldChar w:fldCharType="end"/>
          </w:r>
          <w:r>
            <w:rPr>
              <w:rFonts w:hint="eastAsia" w:ascii="仿宋" w:hAnsi="仿宋" w:eastAsia="仿宋" w:cs="仿宋"/>
            </w:rPr>
            <w:fldChar w:fldCharType="end"/>
          </w:r>
        </w:p>
        <w:p w14:paraId="0709C3AA">
          <w:pPr>
            <w:pStyle w:val="14"/>
            <w:tabs>
              <w:tab w:val="right" w:leader="dot" w:pos="8306"/>
              <w:tab w:val="clear" w:pos="8296"/>
            </w:tabs>
            <w:rPr>
              <w:rFonts w:hint="eastAsia" w:ascii="仿宋" w:hAnsi="仿宋" w:eastAsia="仿宋" w:cs="仿宋"/>
            </w:rPr>
          </w:pPr>
        </w:p>
        <w:p w14:paraId="5B381597">
          <w:pPr>
            <w:pStyle w:val="14"/>
            <w:tabs>
              <w:tab w:val="right" w:leader="dot" w:pos="8306"/>
              <w:tab w:val="clear" w:pos="8296"/>
            </w:tabs>
            <w:ind w:left="0" w:leftChars="0" w:firstLine="0" w:firstLineChars="0"/>
            <w:rPr>
              <w:rFonts w:hint="default" w:ascii="仿宋" w:hAnsi="仿宋" w:eastAsia="仿宋" w:cs="仿宋"/>
              <w:lang w:val="en-US" w:eastAsia="zh-CN"/>
            </w:rPr>
          </w:pPr>
          <w:r>
            <w:rPr>
              <w:rFonts w:hint="eastAsia" w:ascii="仿宋" w:hAnsi="仿宋" w:eastAsia="仿宋" w:cs="仿宋"/>
              <w:kern w:val="2"/>
              <w:sz w:val="28"/>
              <w:szCs w:val="44"/>
              <w:highlight w:val="none"/>
              <w:lang w:val="en-US" w:eastAsia="zh-CN" w:bidi="ar-SA"/>
            </w:rPr>
            <w:t>第四部分  附件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_Toc23239 \h </w:instrText>
          </w:r>
          <w:r>
            <w:rPr>
              <w:rFonts w:hint="eastAsia" w:ascii="仿宋" w:hAnsi="仿宋" w:eastAsia="仿宋" w:cs="仿宋"/>
            </w:rPr>
            <w:fldChar w:fldCharType="separate"/>
          </w:r>
          <w:r>
            <w:rPr>
              <w:rFonts w:hint="eastAsia" w:ascii="仿宋" w:hAnsi="仿宋" w:eastAsia="仿宋" w:cs="仿宋"/>
            </w:rPr>
            <w:t>-</w:t>
          </w:r>
          <w:r>
            <w:rPr>
              <w:rFonts w:hint="eastAsia" w:ascii="仿宋" w:hAnsi="仿宋" w:eastAsia="仿宋" w:cs="仿宋"/>
              <w:lang w:val="en-US" w:eastAsia="zh-CN"/>
            </w:rPr>
            <w:t>23</w:t>
          </w:r>
          <w:r>
            <w:rPr>
              <w:rFonts w:hint="eastAsia" w:ascii="仿宋" w:hAnsi="仿宋" w:eastAsia="仿宋" w:cs="仿宋"/>
            </w:rPr>
            <w:t>-</w:t>
          </w:r>
          <w:r>
            <w:rPr>
              <w:rFonts w:hint="eastAsia" w:ascii="仿宋" w:hAnsi="仿宋" w:eastAsia="仿宋" w:cs="仿宋"/>
            </w:rPr>
            <w:fldChar w:fldCharType="end"/>
          </w:r>
        </w:p>
        <w:p w14:paraId="603BD2D1">
          <w:pPr>
            <w:pStyle w:val="13"/>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_Toc23249 </w:instrText>
          </w:r>
          <w:r>
            <w:rPr>
              <w:rFonts w:hint="eastAsia" w:ascii="仿宋" w:hAnsi="仿宋" w:eastAsia="仿宋" w:cs="仿宋"/>
            </w:rPr>
            <w:fldChar w:fldCharType="separate"/>
          </w:r>
          <w:r>
            <w:rPr>
              <w:rFonts w:hint="eastAsia" w:ascii="仿宋" w:hAnsi="仿宋" w:eastAsia="仿宋" w:cs="仿宋"/>
              <w:szCs w:val="44"/>
              <w:highlight w:val="none"/>
            </w:rPr>
            <w:t>第</w:t>
          </w:r>
          <w:r>
            <w:rPr>
              <w:rFonts w:hint="eastAsia" w:ascii="仿宋" w:hAnsi="仿宋" w:eastAsia="仿宋" w:cs="仿宋"/>
              <w:highlight w:val="none"/>
            </w:rPr>
            <w:t xml:space="preserve">五部分 </w:t>
          </w:r>
          <w:r>
            <w:rPr>
              <w:rFonts w:hint="eastAsia" w:cs="仿宋"/>
              <w:highlight w:val="none"/>
              <w:lang w:val="en-US" w:eastAsia="zh-CN"/>
            </w:rPr>
            <w:t xml:space="preserve"> </w:t>
          </w:r>
          <w:r>
            <w:rPr>
              <w:rFonts w:hint="eastAsia" w:ascii="仿宋" w:hAnsi="仿宋" w:eastAsia="仿宋" w:cs="仿宋"/>
              <w:highlight w:val="none"/>
            </w:rPr>
            <w:t>附表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_Toc23249 \h </w:instrText>
          </w:r>
          <w:r>
            <w:rPr>
              <w:rFonts w:hint="eastAsia" w:ascii="仿宋" w:hAnsi="仿宋" w:eastAsia="仿宋" w:cs="仿宋"/>
            </w:rPr>
            <w:fldChar w:fldCharType="separate"/>
          </w:r>
          <w:r>
            <w:rPr>
              <w:rFonts w:hint="eastAsia" w:ascii="仿宋" w:hAnsi="仿宋" w:eastAsia="仿宋" w:cs="仿宋"/>
            </w:rPr>
            <w:t>- 28 -</w:t>
          </w:r>
          <w:r>
            <w:rPr>
              <w:rFonts w:hint="eastAsia" w:ascii="仿宋" w:hAnsi="仿宋" w:eastAsia="仿宋" w:cs="仿宋"/>
            </w:rPr>
            <w:fldChar w:fldCharType="end"/>
          </w:r>
          <w:r>
            <w:rPr>
              <w:rFonts w:hint="eastAsia" w:ascii="仿宋" w:hAnsi="仿宋" w:eastAsia="仿宋" w:cs="仿宋"/>
            </w:rPr>
            <w:fldChar w:fldCharType="end"/>
          </w:r>
        </w:p>
        <w:p w14:paraId="2CF592B5">
          <w:r>
            <w:rPr>
              <w:rFonts w:hint="eastAsia" w:ascii="仿宋" w:hAnsi="仿宋" w:eastAsia="仿宋" w:cs="仿宋"/>
            </w:rPr>
            <w:fldChar w:fldCharType="end"/>
          </w:r>
        </w:p>
      </w:sdtContent>
    </w:sdt>
    <w:p w14:paraId="6DD75C4E"/>
    <w:p w14:paraId="06D2A79C">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14:paraId="0A89DC82">
      <w:pPr>
        <w:pStyle w:val="5"/>
        <w:jc w:val="center"/>
        <w:rPr>
          <w:rStyle w:val="28"/>
          <w:rFonts w:hint="eastAsia" w:ascii="Times New Roman" w:hAnsi="Times New Roman" w:eastAsia="方正小标宋简体" w:cs="方正小标宋简体"/>
          <w:b/>
          <w:bCs w:val="0"/>
          <w:color w:val="auto"/>
          <w:highlight w:val="none"/>
        </w:rPr>
      </w:pPr>
      <w:bookmarkStart w:id="11" w:name="_Toc7420"/>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9"/>
      <w:bookmarkEnd w:id="10"/>
      <w:bookmarkEnd w:id="11"/>
    </w:p>
    <w:p w14:paraId="7A24E97D">
      <w:pPr>
        <w:widowControl/>
        <w:jc w:val="left"/>
        <w:rPr>
          <w:rFonts w:ascii="Times New Roman" w:hAnsi="Times New Roman" w:eastAsia="黑体"/>
          <w:color w:val="auto"/>
          <w:sz w:val="32"/>
          <w:szCs w:val="32"/>
          <w:highlight w:val="none"/>
        </w:rPr>
      </w:pPr>
    </w:p>
    <w:p w14:paraId="244F9F70">
      <w:pPr>
        <w:pStyle w:val="6"/>
        <w:numPr>
          <w:ilvl w:val="0"/>
          <w:numId w:val="1"/>
        </w:numPr>
        <w:outlineLvl w:val="1"/>
        <w:rPr>
          <w:rStyle w:val="29"/>
          <w:rFonts w:hint="eastAsia" w:ascii="黑体" w:hAnsi="黑体" w:eastAsia="黑体"/>
          <w:b w:val="0"/>
          <w:bCs w:val="0"/>
        </w:rPr>
      </w:pPr>
      <w:bookmarkStart w:id="12" w:name="_Toc20149"/>
      <w:bookmarkStart w:id="13" w:name="_Toc30705"/>
      <w:bookmarkStart w:id="14" w:name="_Toc1820"/>
      <w:bookmarkStart w:id="15" w:name="_Toc50563959_WPSOffice_Level2"/>
      <w:bookmarkStart w:id="16" w:name="_Toc16821"/>
      <w:bookmarkStart w:id="17" w:name="_Toc15377200"/>
      <w:bookmarkStart w:id="18" w:name="_Toc15396601"/>
      <w:r>
        <w:rPr>
          <w:rStyle w:val="29"/>
          <w:rFonts w:hint="eastAsia" w:ascii="黑体" w:hAnsi="黑体" w:eastAsia="黑体"/>
          <w:b w:val="0"/>
          <w:bCs w:val="0"/>
        </w:rPr>
        <w:t>主要职责</w:t>
      </w:r>
      <w:bookmarkEnd w:id="12"/>
      <w:bookmarkEnd w:id="13"/>
      <w:bookmarkEnd w:id="14"/>
      <w:bookmarkEnd w:id="15"/>
      <w:bookmarkEnd w:id="16"/>
    </w:p>
    <w:p w14:paraId="591939F7">
      <w:pPr>
        <w:widowControl/>
        <w:ind w:firstLine="640" w:firstLineChars="200"/>
        <w:outlineLvl w:val="9"/>
        <w:rPr>
          <w:rFonts w:hint="eastAsia" w:ascii="仿宋_GB2312" w:hAnsi="仿宋_GB2312" w:eastAsia="仿宋_GB2312" w:cs="仿宋_GB2312"/>
          <w:color w:val="333333"/>
          <w:sz w:val="32"/>
          <w:szCs w:val="32"/>
        </w:rPr>
      </w:pPr>
      <w:bookmarkStart w:id="19" w:name="_Toc2584"/>
      <w:bookmarkStart w:id="20" w:name="_Toc32029"/>
      <w:bookmarkStart w:id="21" w:name="_Toc16554"/>
      <w:bookmarkStart w:id="22" w:name="_Toc23141"/>
      <w:bookmarkStart w:id="23" w:name="_Toc3436"/>
      <w:r>
        <w:rPr>
          <w:rFonts w:hint="eastAsia" w:ascii="仿宋_GB2312" w:hAnsi="仿宋_GB2312" w:eastAsia="仿宋_GB2312" w:cs="仿宋_GB2312"/>
          <w:color w:val="333333"/>
          <w:sz w:val="32"/>
          <w:szCs w:val="32"/>
        </w:rPr>
        <w:t>攀枝花市仁和区金江镇幅员面积110.97平方公里，全镇辖4个行政村，46个村民小组、4个城市社区。政府下设办公室等各基层站所，功能设施齐全，</w:t>
      </w:r>
      <w:r>
        <w:rPr>
          <w:rFonts w:hint="eastAsia" w:ascii="仿宋" w:hAnsi="仿宋" w:eastAsia="仿宋" w:cs="Times New Roman"/>
          <w:color w:val="auto"/>
          <w:kern w:val="2"/>
          <w:sz w:val="32"/>
          <w:szCs w:val="24"/>
          <w:lang w:val="en-US" w:eastAsia="zh-CN"/>
        </w:rPr>
        <w:t>2024</w:t>
      </w:r>
      <w:r>
        <w:rPr>
          <w:rFonts w:hint="eastAsia" w:ascii="仿宋" w:hAnsi="仿宋" w:eastAsia="仿宋" w:cs="Times New Roman"/>
          <w:color w:val="auto"/>
          <w:kern w:val="2"/>
          <w:sz w:val="32"/>
          <w:szCs w:val="24"/>
          <w:lang w:val="en-US"/>
        </w:rPr>
        <w:t>年底在</w:t>
      </w:r>
      <w:r>
        <w:rPr>
          <w:rFonts w:hint="eastAsia" w:ascii="仿宋" w:hAnsi="仿宋" w:eastAsia="仿宋" w:cs="Times New Roman"/>
          <w:color w:val="auto"/>
          <w:kern w:val="2"/>
          <w:sz w:val="32"/>
          <w:szCs w:val="24"/>
          <w:lang w:val="en-US" w:eastAsia="zh-CN"/>
        </w:rPr>
        <w:t>职</w:t>
      </w:r>
      <w:r>
        <w:rPr>
          <w:rFonts w:hint="eastAsia" w:ascii="仿宋" w:hAnsi="仿宋" w:eastAsia="仿宋" w:cs="Times New Roman"/>
          <w:color w:val="auto"/>
          <w:kern w:val="2"/>
          <w:sz w:val="32"/>
          <w:szCs w:val="24"/>
          <w:lang w:val="en-US"/>
        </w:rPr>
        <w:t>人员共</w:t>
      </w:r>
      <w:r>
        <w:rPr>
          <w:rFonts w:hint="eastAsia" w:ascii="仿宋" w:hAnsi="仿宋" w:eastAsia="仿宋" w:cs="Times New Roman"/>
          <w:color w:val="auto"/>
          <w:kern w:val="2"/>
          <w:sz w:val="32"/>
          <w:szCs w:val="24"/>
          <w:lang w:val="en-US" w:eastAsia="zh-CN"/>
        </w:rPr>
        <w:t>45</w:t>
      </w:r>
      <w:r>
        <w:rPr>
          <w:rFonts w:hint="eastAsia" w:ascii="仿宋" w:hAnsi="仿宋" w:eastAsia="仿宋" w:cs="Times New Roman"/>
          <w:color w:val="auto"/>
          <w:kern w:val="2"/>
          <w:sz w:val="32"/>
          <w:szCs w:val="24"/>
          <w:lang w:val="en-US"/>
        </w:rPr>
        <w:t>名，其中公务员</w:t>
      </w:r>
      <w:r>
        <w:rPr>
          <w:rFonts w:hint="eastAsia" w:ascii="仿宋" w:hAnsi="仿宋" w:eastAsia="仿宋" w:cs="Times New Roman"/>
          <w:color w:val="auto"/>
          <w:kern w:val="2"/>
          <w:sz w:val="32"/>
          <w:szCs w:val="24"/>
          <w:lang w:val="en-US" w:eastAsia="zh-CN"/>
        </w:rPr>
        <w:t>25</w:t>
      </w:r>
      <w:r>
        <w:rPr>
          <w:rFonts w:hint="eastAsia" w:ascii="仿宋" w:hAnsi="仿宋" w:eastAsia="仿宋" w:cs="Times New Roman"/>
          <w:color w:val="auto"/>
          <w:kern w:val="2"/>
          <w:sz w:val="32"/>
          <w:szCs w:val="24"/>
          <w:lang w:val="en-US"/>
        </w:rPr>
        <w:t>名</w:t>
      </w:r>
      <w:r>
        <w:rPr>
          <w:rFonts w:hint="eastAsia" w:ascii="仿宋" w:hAnsi="仿宋" w:eastAsia="仿宋" w:cs="Times New Roman"/>
          <w:color w:val="auto"/>
          <w:kern w:val="2"/>
          <w:sz w:val="32"/>
          <w:szCs w:val="24"/>
          <w:lang w:val="en-US" w:eastAsia="zh-CN"/>
        </w:rPr>
        <w:t>、参公管理1名、行政</w:t>
      </w:r>
      <w:r>
        <w:rPr>
          <w:rFonts w:hint="eastAsia" w:ascii="仿宋" w:hAnsi="仿宋" w:eastAsia="仿宋" w:cs="Times New Roman"/>
          <w:color w:val="auto"/>
          <w:kern w:val="2"/>
          <w:sz w:val="32"/>
          <w:szCs w:val="24"/>
          <w:lang w:val="en-US"/>
        </w:rPr>
        <w:t>工勤</w:t>
      </w:r>
      <w:r>
        <w:rPr>
          <w:rFonts w:hint="eastAsia" w:ascii="仿宋" w:hAnsi="仿宋" w:eastAsia="仿宋" w:cs="Times New Roman"/>
          <w:color w:val="auto"/>
          <w:kern w:val="2"/>
          <w:sz w:val="32"/>
          <w:szCs w:val="24"/>
          <w:lang w:val="en-US" w:eastAsia="zh-CN"/>
        </w:rPr>
        <w:t>3</w:t>
      </w:r>
      <w:r>
        <w:rPr>
          <w:rFonts w:hint="eastAsia" w:ascii="仿宋" w:hAnsi="仿宋" w:eastAsia="仿宋" w:cs="Times New Roman"/>
          <w:color w:val="auto"/>
          <w:kern w:val="2"/>
          <w:sz w:val="32"/>
          <w:szCs w:val="24"/>
          <w:lang w:val="en-US"/>
        </w:rPr>
        <w:t>名</w:t>
      </w:r>
      <w:r>
        <w:rPr>
          <w:rFonts w:hint="eastAsia" w:ascii="仿宋" w:hAnsi="仿宋" w:eastAsia="仿宋" w:cs="Times New Roman"/>
          <w:color w:val="auto"/>
          <w:kern w:val="2"/>
          <w:sz w:val="32"/>
          <w:szCs w:val="24"/>
          <w:lang w:val="en-US" w:eastAsia="zh-CN"/>
        </w:rPr>
        <w:t>、</w:t>
      </w:r>
      <w:r>
        <w:rPr>
          <w:rFonts w:hint="eastAsia" w:ascii="仿宋" w:hAnsi="仿宋" w:eastAsia="仿宋" w:cs="Times New Roman"/>
          <w:color w:val="auto"/>
          <w:kern w:val="2"/>
          <w:sz w:val="32"/>
          <w:szCs w:val="24"/>
          <w:lang w:val="en-US"/>
        </w:rPr>
        <w:t>事业人员</w:t>
      </w:r>
      <w:r>
        <w:rPr>
          <w:rFonts w:hint="eastAsia" w:ascii="仿宋" w:hAnsi="仿宋" w:eastAsia="仿宋" w:cs="Times New Roman"/>
          <w:color w:val="auto"/>
          <w:kern w:val="2"/>
          <w:sz w:val="32"/>
          <w:szCs w:val="24"/>
          <w:lang w:val="en-US" w:eastAsia="zh-CN"/>
        </w:rPr>
        <w:t>19</w:t>
      </w:r>
      <w:r>
        <w:rPr>
          <w:rFonts w:hint="eastAsia" w:ascii="仿宋" w:hAnsi="仿宋" w:eastAsia="仿宋" w:cs="Times New Roman"/>
          <w:color w:val="auto"/>
          <w:kern w:val="2"/>
          <w:sz w:val="32"/>
          <w:szCs w:val="24"/>
          <w:lang w:val="en-US"/>
        </w:rPr>
        <w:t>名</w:t>
      </w:r>
      <w:r>
        <w:rPr>
          <w:rFonts w:hint="eastAsia" w:ascii="仿宋" w:hAnsi="仿宋" w:eastAsia="仿宋" w:cs="Times New Roman"/>
          <w:color w:val="auto"/>
          <w:kern w:val="2"/>
          <w:sz w:val="32"/>
          <w:szCs w:val="24"/>
          <w:lang w:val="en-US" w:eastAsia="zh-CN"/>
        </w:rPr>
        <w:t>、</w:t>
      </w:r>
      <w:r>
        <w:rPr>
          <w:rFonts w:hint="eastAsia" w:ascii="仿宋" w:hAnsi="仿宋" w:eastAsia="仿宋" w:cs="Times New Roman"/>
          <w:color w:val="auto"/>
          <w:kern w:val="2"/>
          <w:sz w:val="32"/>
          <w:szCs w:val="24"/>
          <w:lang w:val="en-US"/>
        </w:rPr>
        <w:t>代管公务员</w:t>
      </w:r>
      <w:r>
        <w:rPr>
          <w:rFonts w:hint="eastAsia" w:ascii="仿宋" w:hAnsi="仿宋" w:eastAsia="仿宋" w:cs="Times New Roman"/>
          <w:color w:val="auto"/>
          <w:kern w:val="2"/>
          <w:sz w:val="32"/>
          <w:szCs w:val="24"/>
          <w:lang w:val="en-US" w:eastAsia="zh-CN"/>
        </w:rPr>
        <w:t>1</w:t>
      </w:r>
      <w:r>
        <w:rPr>
          <w:rFonts w:hint="eastAsia" w:ascii="仿宋" w:hAnsi="仿宋" w:eastAsia="仿宋" w:cs="Times New Roman"/>
          <w:color w:val="auto"/>
          <w:kern w:val="2"/>
          <w:sz w:val="32"/>
          <w:szCs w:val="24"/>
          <w:lang w:val="en-US"/>
        </w:rPr>
        <w:t>名</w:t>
      </w:r>
      <w:r>
        <w:rPr>
          <w:rFonts w:hint="eastAsia" w:ascii="仿宋_GB2312" w:hAnsi="仿宋_GB2312" w:eastAsia="仿宋_GB2312" w:cs="仿宋_GB2312"/>
          <w:color w:val="333333"/>
          <w:sz w:val="32"/>
          <w:szCs w:val="32"/>
        </w:rPr>
        <w:t>。主要职能是认真宣传、贯彻党和国家的路线、方针、政策和法律、法规，执行上级党组织和国家行政机关的决定、命令和指示；履行好宪法和法律赋予的职责和义务；保证党和国家的路线、方针、政策和法律、法规在本镇的贯彻落实。负责本镇、村、企业党的建设和村民委员会建设；负责搞好本镇党员、干部的党风廉政建设和政务、村务公开工作；负责领导本镇群团组织和民兵武装的工作；负责指导、协调管理本镇各事业单位工作，负责搞好本镇的文化、体育、教育、卫生、科技、信息、广播、电影、电视、司法、民政、户籍、社会治安、劳动保障、民族、宗教等项工作；抓好财政、金融和税费征收协调工作等。</w:t>
      </w:r>
      <w:bookmarkEnd w:id="19"/>
      <w:bookmarkEnd w:id="20"/>
      <w:bookmarkEnd w:id="21"/>
      <w:bookmarkEnd w:id="22"/>
      <w:bookmarkEnd w:id="23"/>
    </w:p>
    <w:p w14:paraId="0FE94284">
      <w:pPr>
        <w:rPr>
          <w:rFonts w:hint="eastAsia"/>
        </w:rPr>
      </w:pPr>
    </w:p>
    <w:p w14:paraId="39A10223">
      <w:pPr>
        <w:pStyle w:val="6"/>
        <w:outlineLvl w:val="1"/>
        <w:rPr>
          <w:rFonts w:hint="eastAsia" w:ascii="黑体" w:hAnsi="黑体" w:eastAsia="黑体"/>
          <w:b w:val="0"/>
        </w:rPr>
      </w:pPr>
      <w:bookmarkStart w:id="24" w:name="_Toc31713"/>
      <w:bookmarkStart w:id="25" w:name="_Toc25440"/>
      <w:bookmarkStart w:id="26" w:name="_Toc15997"/>
      <w:bookmarkStart w:id="27" w:name="_Toc787249503_WPSOffice_Level2"/>
      <w:bookmarkStart w:id="28" w:name="_Toc9545"/>
      <w:r>
        <w:rPr>
          <w:rFonts w:hint="eastAsia" w:ascii="黑体" w:hAnsi="黑体" w:eastAsia="黑体"/>
          <w:b w:val="0"/>
        </w:rPr>
        <w:t>二、机构设置</w:t>
      </w:r>
      <w:bookmarkEnd w:id="24"/>
      <w:bookmarkEnd w:id="25"/>
      <w:bookmarkEnd w:id="26"/>
      <w:bookmarkEnd w:id="27"/>
      <w:bookmarkEnd w:id="28"/>
    </w:p>
    <w:p w14:paraId="56F60B21">
      <w:pPr>
        <w:pStyle w:val="8"/>
        <w:adjustRightInd w:val="0"/>
        <w:spacing w:before="130" w:line="600" w:lineRule="exact"/>
        <w:ind w:firstLine="672" w:firstLineChars="210"/>
        <w:rPr>
          <w:rFonts w:ascii="Times New Roman" w:hAnsi="Times New Roman" w:eastAsia="仿宋"/>
          <w:color w:val="auto"/>
          <w:kern w:val="0"/>
          <w:sz w:val="32"/>
          <w:szCs w:val="32"/>
          <w:highlight w:val="none"/>
        </w:rPr>
      </w:pPr>
      <w:r>
        <w:rPr>
          <w:rFonts w:hint="eastAsia" w:ascii="仿宋_GB2312" w:hAnsi="仿宋_GB2312" w:eastAsia="仿宋_GB2312" w:cs="仿宋_GB2312"/>
          <w:color w:val="333333"/>
          <w:sz w:val="32"/>
          <w:szCs w:val="32"/>
        </w:rPr>
        <w:t>攀枝花市仁和区金江镇人民政府</w:t>
      </w:r>
      <w:r>
        <w:rPr>
          <w:rFonts w:ascii="仿宋_GB2312" w:hAnsi="仿宋_GB2312" w:eastAsia="仿宋_GB2312" w:cs="仿宋_GB2312"/>
          <w:color w:val="333333"/>
          <w:sz w:val="32"/>
          <w:szCs w:val="32"/>
        </w:rPr>
        <w:t>下属非独立核算单位</w:t>
      </w:r>
      <w:r>
        <w:rPr>
          <w:rFonts w:hint="eastAsia" w:ascii="仿宋_GB2312" w:hAnsi="仿宋_GB2312" w:eastAsia="仿宋_GB2312" w:cs="仿宋_GB2312"/>
          <w:color w:val="333333"/>
          <w:sz w:val="32"/>
          <w:szCs w:val="32"/>
        </w:rPr>
        <w:t>0</w:t>
      </w:r>
      <w:r>
        <w:rPr>
          <w:rFonts w:ascii="仿宋_GB2312" w:hAnsi="仿宋_GB2312" w:eastAsia="仿宋_GB2312" w:cs="仿宋_GB2312"/>
          <w:color w:val="333333"/>
          <w:sz w:val="32"/>
          <w:szCs w:val="32"/>
        </w:rPr>
        <w:t>个，其中行政单位</w:t>
      </w:r>
      <w:r>
        <w:rPr>
          <w:rFonts w:hint="eastAsia" w:ascii="仿宋_GB2312" w:hAnsi="仿宋_GB2312" w:eastAsia="仿宋_GB2312" w:cs="仿宋_GB2312"/>
          <w:color w:val="333333"/>
          <w:sz w:val="32"/>
          <w:szCs w:val="32"/>
        </w:rPr>
        <w:t>0</w:t>
      </w:r>
      <w:r>
        <w:rPr>
          <w:rFonts w:ascii="仿宋_GB2312" w:hAnsi="仿宋_GB2312" w:eastAsia="仿宋_GB2312" w:cs="仿宋_GB2312"/>
          <w:color w:val="333333"/>
          <w:sz w:val="32"/>
          <w:szCs w:val="32"/>
        </w:rPr>
        <w:t>个，参照公务员法管理的事业单位</w:t>
      </w:r>
      <w:r>
        <w:rPr>
          <w:rFonts w:hint="eastAsia" w:ascii="仿宋_GB2312" w:hAnsi="仿宋_GB2312" w:eastAsia="仿宋_GB2312" w:cs="仿宋_GB2312"/>
          <w:color w:val="333333"/>
          <w:sz w:val="32"/>
          <w:szCs w:val="32"/>
        </w:rPr>
        <w:t>0</w:t>
      </w:r>
      <w:r>
        <w:rPr>
          <w:rFonts w:ascii="仿宋_GB2312" w:hAnsi="仿宋_GB2312" w:eastAsia="仿宋_GB2312" w:cs="仿宋_GB2312"/>
          <w:color w:val="333333"/>
          <w:sz w:val="32"/>
          <w:szCs w:val="32"/>
        </w:rPr>
        <w:t>个，其他事业单位</w:t>
      </w:r>
      <w:r>
        <w:rPr>
          <w:rFonts w:hint="eastAsia" w:ascii="仿宋_GB2312" w:hAnsi="仿宋_GB2312" w:eastAsia="仿宋_GB2312" w:cs="仿宋_GB2312"/>
          <w:color w:val="333333"/>
          <w:sz w:val="32"/>
          <w:szCs w:val="32"/>
        </w:rPr>
        <w:t>4</w:t>
      </w:r>
      <w:r>
        <w:rPr>
          <w:rFonts w:ascii="仿宋_GB2312" w:hAnsi="仿宋_GB2312" w:eastAsia="仿宋_GB2312" w:cs="仿宋_GB2312"/>
          <w:color w:val="333333"/>
          <w:sz w:val="32"/>
          <w:szCs w:val="32"/>
        </w:rPr>
        <w:t>个。主要包括：</w:t>
      </w:r>
      <w:r>
        <w:rPr>
          <w:rFonts w:hint="eastAsia" w:ascii="仿宋_GB2312" w:hAnsi="仿宋_GB2312" w:eastAsia="仿宋_GB2312" w:cs="仿宋_GB2312"/>
          <w:color w:val="333333"/>
          <w:sz w:val="32"/>
          <w:szCs w:val="32"/>
        </w:rPr>
        <w:t>攀枝花市仁和区金江镇便民服务中心、攀枝花市仁和区金江镇农业农村服务中心、攀枝花市仁和区金江镇移民安置服务中心、攀枝花市仁和区金江镇宣传文化旅游服务中心</w:t>
      </w:r>
      <w:r>
        <w:rPr>
          <w:rFonts w:ascii="仿宋_GB2312" w:hAnsi="仿宋_GB2312" w:eastAsia="仿宋_GB2312" w:cs="仿宋_GB2312"/>
          <w:color w:val="333333"/>
          <w:sz w:val="32"/>
          <w:szCs w:val="32"/>
        </w:rPr>
        <w:t>。</w:t>
      </w:r>
      <w:bookmarkEnd w:id="17"/>
      <w:bookmarkEnd w:id="18"/>
      <w:r>
        <w:rPr>
          <w:rFonts w:ascii="Times New Roman" w:hAnsi="Times New Roman" w:eastAsia="仿宋"/>
          <w:color w:val="auto"/>
          <w:sz w:val="32"/>
          <w:szCs w:val="32"/>
          <w:highlight w:val="none"/>
        </w:rPr>
        <w:br w:type="page"/>
      </w:r>
    </w:p>
    <w:p w14:paraId="67CA82FE">
      <w:pPr>
        <w:pStyle w:val="5"/>
        <w:jc w:val="center"/>
        <w:rPr>
          <w:rFonts w:hint="eastAsia" w:ascii="Times New Roman" w:hAnsi="Times New Roman" w:eastAsia="方正小标宋简体" w:cs="方正小标宋简体"/>
          <w:b w:val="0"/>
          <w:color w:val="auto"/>
          <w:highlight w:val="none"/>
        </w:rPr>
      </w:pPr>
      <w:bookmarkStart w:id="29" w:name="_Toc15377204"/>
      <w:bookmarkStart w:id="30" w:name="_Toc15396602"/>
      <w:bookmarkStart w:id="31" w:name="_Toc666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29"/>
      <w:bookmarkEnd w:id="30"/>
      <w:bookmarkEnd w:id="31"/>
    </w:p>
    <w:p w14:paraId="7127EC85">
      <w:pPr>
        <w:rPr>
          <w:rFonts w:ascii="Times New Roman" w:hAnsi="Times New Roman"/>
          <w:color w:val="auto"/>
          <w:highlight w:val="none"/>
        </w:rPr>
      </w:pPr>
    </w:p>
    <w:p w14:paraId="7B636C1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1"/>
        <w:rPr>
          <w:rStyle w:val="29"/>
          <w:rFonts w:hint="eastAsia" w:ascii="Times New Roman" w:hAnsi="Times New Roman" w:eastAsia="黑体"/>
          <w:b w:val="0"/>
          <w:color w:val="auto"/>
          <w:highlight w:val="none"/>
        </w:rPr>
      </w:pPr>
      <w:bookmarkStart w:id="32" w:name="_Toc15377205"/>
      <w:bookmarkStart w:id="33" w:name="_Toc15396603"/>
      <w:bookmarkStart w:id="34" w:name="_Toc24408"/>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32"/>
      <w:bookmarkEnd w:id="33"/>
      <w:bookmarkEnd w:id="34"/>
    </w:p>
    <w:p w14:paraId="18141BA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9841.3</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3185.66</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24.45</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移民征地类项目支出减少。</w:t>
      </w:r>
    </w:p>
    <w:p w14:paraId="67155B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0FE8F734">
      <w:pPr>
        <w:pStyle w:val="2"/>
        <w:rPr>
          <w:rFonts w:hint="eastAsia"/>
        </w:rPr>
      </w:pPr>
    </w:p>
    <w:p w14:paraId="463230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486910" cy="3425825"/>
            <wp:effectExtent l="0" t="0" r="8890" b="317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7"/>
                    <a:stretch>
                      <a:fillRect/>
                    </a:stretch>
                  </pic:blipFill>
                  <pic:spPr>
                    <a:xfrm>
                      <a:off x="0" y="0"/>
                      <a:ext cx="4486910" cy="3425825"/>
                    </a:xfrm>
                    <a:prstGeom prst="rect">
                      <a:avLst/>
                    </a:prstGeom>
                  </pic:spPr>
                </pic:pic>
              </a:graphicData>
            </a:graphic>
          </wp:inline>
        </w:drawing>
      </w:r>
    </w:p>
    <w:p w14:paraId="5F87A02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Times New Roman" w:hAnsi="Times New Roman" w:eastAsia="黑体"/>
          <w:color w:val="auto"/>
          <w:sz w:val="32"/>
          <w:szCs w:val="32"/>
          <w:highlight w:val="none"/>
          <w:lang w:eastAsia="zh-CN"/>
        </w:rPr>
      </w:pPr>
      <w:bookmarkStart w:id="35" w:name="_Toc15377206"/>
      <w:bookmarkStart w:id="36" w:name="_Toc15396604"/>
      <w:bookmarkStart w:id="37" w:name="_Toc24311"/>
      <w:r>
        <w:rPr>
          <w:rFonts w:hint="eastAsia" w:ascii="Times New Roman" w:hAnsi="Times New Roman" w:eastAsia="黑体"/>
          <w:color w:val="auto"/>
          <w:sz w:val="32"/>
          <w:szCs w:val="32"/>
          <w:highlight w:val="none"/>
          <w:lang w:eastAsia="zh-CN"/>
        </w:rPr>
        <w:t>二、收入决算情况说明</w:t>
      </w:r>
      <w:bookmarkEnd w:id="35"/>
      <w:bookmarkEnd w:id="36"/>
      <w:bookmarkEnd w:id="37"/>
    </w:p>
    <w:p w14:paraId="3C899BB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outlineLvl w:val="9"/>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9841.3万元，其中：一般公共预算财政拨款收入9819.69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99.78</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21.61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0.21%</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（注：仅罗列本部门涉及的收入）</w:t>
      </w:r>
    </w:p>
    <w:p w14:paraId="6CDD824E">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47F6B233">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389120" cy="3328670"/>
            <wp:effectExtent l="0" t="0" r="11430" b="508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8"/>
                    <a:stretch>
                      <a:fillRect/>
                    </a:stretch>
                  </pic:blipFill>
                  <pic:spPr>
                    <a:xfrm>
                      <a:off x="0" y="0"/>
                      <a:ext cx="4389120" cy="3328670"/>
                    </a:xfrm>
                    <a:prstGeom prst="rect">
                      <a:avLst/>
                    </a:prstGeom>
                  </pic:spPr>
                </pic:pic>
              </a:graphicData>
            </a:graphic>
          </wp:inline>
        </w:drawing>
      </w:r>
    </w:p>
    <w:p w14:paraId="43308DD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1"/>
        <w:rPr>
          <w:rStyle w:val="29"/>
          <w:rFonts w:hint="eastAsia" w:ascii="Times New Roman" w:hAnsi="Times New Roman" w:eastAsia="黑体"/>
          <w:b w:val="0"/>
          <w:color w:val="auto"/>
          <w:highlight w:val="none"/>
        </w:rPr>
      </w:pPr>
      <w:bookmarkStart w:id="38" w:name="_Toc15377207"/>
      <w:bookmarkStart w:id="39" w:name="_Toc15396605"/>
      <w:bookmarkStart w:id="40" w:name="_Toc714"/>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38"/>
      <w:bookmarkEnd w:id="39"/>
      <w:bookmarkEnd w:id="40"/>
    </w:p>
    <w:p w14:paraId="1B7CE68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outlineLvl w:val="9"/>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9841.3</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1034.43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10.51</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8806.87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89.48</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（注：仅罗列本部门涉及的支出）</w:t>
      </w:r>
    </w:p>
    <w:p w14:paraId="6C21F68F">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26685C77">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334510" cy="3529330"/>
            <wp:effectExtent l="0" t="0" r="8890" b="13970"/>
            <wp:docPr id="3" name="图片 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3"/>
                    <pic:cNvPicPr>
                      <a:picLocks noChangeAspect="1"/>
                    </pic:cNvPicPr>
                  </pic:nvPicPr>
                  <pic:blipFill>
                    <a:blip r:embed="rId9"/>
                    <a:stretch>
                      <a:fillRect/>
                    </a:stretch>
                  </pic:blipFill>
                  <pic:spPr>
                    <a:xfrm>
                      <a:off x="0" y="0"/>
                      <a:ext cx="4334510" cy="3529330"/>
                    </a:xfrm>
                    <a:prstGeom prst="rect">
                      <a:avLst/>
                    </a:prstGeom>
                  </pic:spPr>
                </pic:pic>
              </a:graphicData>
            </a:graphic>
          </wp:inline>
        </w:drawing>
      </w:r>
    </w:p>
    <w:p w14:paraId="43352083">
      <w:pPr>
        <w:spacing w:line="600" w:lineRule="exact"/>
        <w:ind w:firstLine="640" w:firstLineChars="200"/>
        <w:outlineLvl w:val="1"/>
        <w:rPr>
          <w:rStyle w:val="29"/>
          <w:rFonts w:ascii="Times New Roman" w:hAnsi="Times New Roman" w:eastAsia="黑体"/>
          <w:b w:val="0"/>
          <w:color w:val="auto"/>
          <w:highlight w:val="none"/>
        </w:rPr>
      </w:pPr>
      <w:bookmarkStart w:id="41" w:name="_Toc15396606"/>
      <w:bookmarkStart w:id="42" w:name="_Toc15377208"/>
      <w:bookmarkStart w:id="43" w:name="_Toc15091"/>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41"/>
      <w:bookmarkEnd w:id="42"/>
      <w:bookmarkEnd w:id="43"/>
    </w:p>
    <w:p w14:paraId="387E77C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9841.3</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w:t>
      </w:r>
      <w:r>
        <w:rPr>
          <w:rFonts w:hint="eastAsia" w:ascii="Times New Roman" w:hAnsi="Times New Roman" w:eastAsia="仿宋_GB2312" w:cs="仿宋_GB2312"/>
          <w:color w:val="auto"/>
          <w:sz w:val="32"/>
          <w:szCs w:val="32"/>
          <w:highlight w:val="none"/>
        </w:rPr>
        <w:t>减少</w:t>
      </w:r>
      <w:r>
        <w:rPr>
          <w:rFonts w:hint="eastAsia" w:eastAsia="仿宋_GB2312" w:cs="仿宋_GB2312"/>
          <w:color w:val="auto"/>
          <w:sz w:val="32"/>
          <w:szCs w:val="32"/>
          <w:highlight w:val="none"/>
          <w:lang w:val="en-US" w:eastAsia="zh-CN"/>
        </w:rPr>
        <w:t>3185.66</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24.45</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移民征地类项目支出减少。</w:t>
      </w:r>
    </w:p>
    <w:p w14:paraId="03A927DC">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165E1746">
      <w:pPr>
        <w:pStyle w:val="2"/>
        <w:rPr>
          <w:rFonts w:hint="eastAsia"/>
          <w:lang w:val="en-US" w:eastAsia="zh-CN"/>
        </w:rPr>
      </w:pPr>
    </w:p>
    <w:p w14:paraId="51C59EDD">
      <w:pPr>
        <w:pStyle w:val="3"/>
        <w:ind w:left="0" w:leftChars="0" w:firstLine="0" w:firstLineChars="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3629660" cy="2474595"/>
            <wp:effectExtent l="0" t="0" r="8890" b="1905"/>
            <wp:docPr id="4" name="图片 4"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4"/>
                    <pic:cNvPicPr>
                      <a:picLocks noChangeAspect="1"/>
                    </pic:cNvPicPr>
                  </pic:nvPicPr>
                  <pic:blipFill>
                    <a:blip r:embed="rId10"/>
                    <a:stretch>
                      <a:fillRect/>
                    </a:stretch>
                  </pic:blipFill>
                  <pic:spPr>
                    <a:xfrm>
                      <a:off x="0" y="0"/>
                      <a:ext cx="3629660" cy="2474595"/>
                    </a:xfrm>
                    <a:prstGeom prst="rect">
                      <a:avLst/>
                    </a:prstGeom>
                  </pic:spPr>
                </pic:pic>
              </a:graphicData>
            </a:graphic>
          </wp:inline>
        </w:drawing>
      </w:r>
    </w:p>
    <w:p w14:paraId="26E42883">
      <w:pPr>
        <w:spacing w:line="600" w:lineRule="exact"/>
        <w:ind w:firstLine="640" w:firstLineChars="200"/>
        <w:outlineLvl w:val="1"/>
        <w:rPr>
          <w:rStyle w:val="29"/>
          <w:rFonts w:ascii="Times New Roman" w:hAnsi="Times New Roman" w:eastAsia="黑体"/>
          <w:b w:val="0"/>
          <w:color w:val="auto"/>
          <w:highlight w:val="none"/>
        </w:rPr>
      </w:pPr>
      <w:bookmarkStart w:id="44" w:name="_Toc15396607"/>
      <w:bookmarkStart w:id="45" w:name="_Toc15377209"/>
      <w:bookmarkStart w:id="46" w:name="_Toc17536"/>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44"/>
      <w:bookmarkEnd w:id="45"/>
      <w:bookmarkEnd w:id="46"/>
    </w:p>
    <w:p w14:paraId="76C8310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10"/>
      <w:bookmarkStart w:id="48" w:name="_Toc31470"/>
      <w:r>
        <w:rPr>
          <w:rFonts w:hint="eastAsia" w:ascii="Times New Roman" w:hAnsi="Times New Roman" w:eastAsia="楷体_GB2312" w:cs="楷体_GB2312"/>
          <w:b/>
          <w:color w:val="auto"/>
          <w:sz w:val="32"/>
          <w:szCs w:val="32"/>
          <w:highlight w:val="none"/>
        </w:rPr>
        <w:t>（一）一般公共预算财政拨款支出决算总体情况</w:t>
      </w:r>
      <w:bookmarkEnd w:id="47"/>
      <w:bookmarkEnd w:id="48"/>
    </w:p>
    <w:p w14:paraId="3C1037A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9819.69</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99.78</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%。与2023年度相比，一般公共预算财政拨款支出减少3015.71万元，下降23.5%。</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移民征地类项目支出减少。</w:t>
      </w:r>
    </w:p>
    <w:p w14:paraId="267A69E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016468C6">
      <w:pPr>
        <w:spacing w:line="240" w:lineRule="auto"/>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4267200" cy="3224530"/>
            <wp:effectExtent l="0" t="0" r="0" b="13970"/>
            <wp:docPr id="5" name="图片 5"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5"/>
                    <pic:cNvPicPr>
                      <a:picLocks noChangeAspect="1"/>
                    </pic:cNvPicPr>
                  </pic:nvPicPr>
                  <pic:blipFill>
                    <a:blip r:embed="rId11"/>
                    <a:stretch>
                      <a:fillRect/>
                    </a:stretch>
                  </pic:blipFill>
                  <pic:spPr>
                    <a:xfrm>
                      <a:off x="0" y="0"/>
                      <a:ext cx="4267200" cy="3224530"/>
                    </a:xfrm>
                    <a:prstGeom prst="rect">
                      <a:avLst/>
                    </a:prstGeom>
                  </pic:spPr>
                </pic:pic>
              </a:graphicData>
            </a:graphic>
          </wp:inline>
        </w:drawing>
      </w:r>
    </w:p>
    <w:p w14:paraId="792B95F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11"/>
      <w:bookmarkStart w:id="50" w:name="_Toc25299"/>
      <w:r>
        <w:rPr>
          <w:rFonts w:hint="eastAsia" w:ascii="Times New Roman" w:hAnsi="Times New Roman" w:eastAsia="楷体_GB2312" w:cs="楷体_GB2312"/>
          <w:b/>
          <w:color w:val="auto"/>
          <w:sz w:val="32"/>
          <w:szCs w:val="32"/>
          <w:highlight w:val="none"/>
        </w:rPr>
        <w:t>（二）一般公共预算财政拨款支出决算结构情况</w:t>
      </w:r>
      <w:bookmarkEnd w:id="49"/>
      <w:bookmarkEnd w:id="50"/>
    </w:p>
    <w:p w14:paraId="75E9603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9819.69</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1063.18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10.83</w:t>
      </w:r>
      <w:r>
        <w:rPr>
          <w:rFonts w:hint="eastAsia" w:ascii="Times New Roman" w:hAnsi="Times New Roman" w:eastAsia="仿宋_GB2312" w:cs="仿宋_GB2312"/>
          <w:color w:val="auto"/>
          <w:kern w:val="2"/>
          <w:sz w:val="32"/>
          <w:szCs w:val="32"/>
          <w:highlight w:val="none"/>
          <w:lang w:val="en-US" w:eastAsia="zh-CN" w:bidi="ar-SA"/>
        </w:rPr>
        <w:t>%；公共安全支出</w:t>
      </w:r>
      <w:r>
        <w:rPr>
          <w:rFonts w:hint="eastAsia" w:eastAsia="仿宋_GB2312" w:cs="仿宋_GB2312"/>
          <w:color w:val="auto"/>
          <w:kern w:val="2"/>
          <w:sz w:val="32"/>
          <w:szCs w:val="32"/>
          <w:highlight w:val="none"/>
          <w:lang w:val="en-US" w:eastAsia="zh-CN" w:bidi="ar-SA"/>
        </w:rPr>
        <w:t>13.82万元</w:t>
      </w:r>
      <w:r>
        <w:rPr>
          <w:rFonts w:hint="eastAsia" w:ascii="Times New Roman" w:hAnsi="Times New Roman" w:eastAsia="仿宋_GB2312" w:cs="仿宋_GB2312"/>
          <w:color w:val="auto"/>
          <w:kern w:val="2"/>
          <w:sz w:val="32"/>
          <w:szCs w:val="32"/>
          <w:highlight w:val="none"/>
          <w:lang w:val="en-US" w:eastAsia="zh-CN" w:bidi="ar-SA"/>
        </w:rPr>
        <w:t>，占</w:t>
      </w:r>
      <w:r>
        <w:rPr>
          <w:rFonts w:hint="eastAsia" w:eastAsia="仿宋_GB2312" w:cs="仿宋_GB2312"/>
          <w:color w:val="auto"/>
          <w:kern w:val="2"/>
          <w:sz w:val="32"/>
          <w:szCs w:val="32"/>
          <w:highlight w:val="none"/>
          <w:lang w:val="en-US" w:eastAsia="zh-CN" w:bidi="ar-SA"/>
        </w:rPr>
        <w:t>0.14</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716.31万元，</w:t>
      </w:r>
      <w:r>
        <w:rPr>
          <w:rFonts w:hint="eastAsia" w:ascii="Times New Roman" w:hAnsi="Times New Roman" w:eastAsia="仿宋_GB2312" w:cs="仿宋_GB2312"/>
          <w:color w:val="auto"/>
          <w:kern w:val="2"/>
          <w:sz w:val="32"/>
          <w:szCs w:val="32"/>
          <w:highlight w:val="none"/>
          <w:lang w:val="en-US" w:eastAsia="zh-CN" w:bidi="ar-SA"/>
        </w:rPr>
        <w:t>占</w:t>
      </w:r>
      <w:r>
        <w:rPr>
          <w:rFonts w:hint="eastAsia" w:eastAsia="仿宋_GB2312" w:cs="仿宋_GB2312"/>
          <w:color w:val="auto"/>
          <w:kern w:val="2"/>
          <w:sz w:val="32"/>
          <w:szCs w:val="32"/>
          <w:highlight w:val="none"/>
          <w:lang w:val="en-US" w:eastAsia="zh-CN" w:bidi="ar-SA"/>
        </w:rPr>
        <w:t>7.29</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；卫生健康支出84.04万元，</w:t>
      </w:r>
      <w:r>
        <w:rPr>
          <w:rFonts w:hint="eastAsia" w:ascii="Times New Roman" w:hAnsi="Times New Roman" w:eastAsia="仿宋_GB2312" w:cs="仿宋_GB2312"/>
          <w:color w:val="auto"/>
          <w:kern w:val="2"/>
          <w:sz w:val="32"/>
          <w:szCs w:val="32"/>
          <w:highlight w:val="none"/>
          <w:lang w:val="en-US" w:eastAsia="zh-CN" w:bidi="ar-SA"/>
        </w:rPr>
        <w:t>占</w:t>
      </w:r>
      <w:r>
        <w:rPr>
          <w:rFonts w:hint="eastAsia" w:eastAsia="仿宋_GB2312" w:cs="仿宋_GB2312"/>
          <w:color w:val="auto"/>
          <w:kern w:val="2"/>
          <w:sz w:val="32"/>
          <w:szCs w:val="32"/>
          <w:highlight w:val="none"/>
          <w:lang w:val="en-US" w:eastAsia="zh-CN" w:bidi="ar-SA"/>
        </w:rPr>
        <w:t>0.9</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；城乡社区支出5010.38万元，</w:t>
      </w:r>
      <w:r>
        <w:rPr>
          <w:rFonts w:hint="eastAsia" w:ascii="Times New Roman" w:hAnsi="Times New Roman" w:eastAsia="仿宋_GB2312" w:cs="仿宋_GB2312"/>
          <w:color w:val="auto"/>
          <w:kern w:val="2"/>
          <w:sz w:val="32"/>
          <w:szCs w:val="32"/>
          <w:highlight w:val="none"/>
          <w:lang w:val="en-US" w:eastAsia="zh-CN" w:bidi="ar-SA"/>
        </w:rPr>
        <w:t>占</w:t>
      </w:r>
      <w:r>
        <w:rPr>
          <w:rFonts w:hint="eastAsia" w:eastAsia="仿宋_GB2312" w:cs="仿宋_GB2312"/>
          <w:color w:val="auto"/>
          <w:kern w:val="2"/>
          <w:sz w:val="32"/>
          <w:szCs w:val="32"/>
          <w:highlight w:val="none"/>
          <w:lang w:val="en-US" w:eastAsia="zh-CN" w:bidi="ar-SA"/>
        </w:rPr>
        <w:t>51.02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；农林水支出2717.26，</w:t>
      </w:r>
      <w:r>
        <w:rPr>
          <w:rFonts w:hint="eastAsia" w:ascii="Times New Roman" w:hAnsi="Times New Roman" w:eastAsia="仿宋_GB2312" w:cs="仿宋_GB2312"/>
          <w:color w:val="auto"/>
          <w:kern w:val="2"/>
          <w:sz w:val="32"/>
          <w:szCs w:val="32"/>
          <w:highlight w:val="none"/>
          <w:lang w:val="en-US" w:eastAsia="zh-CN" w:bidi="ar-SA"/>
        </w:rPr>
        <w:t>占</w:t>
      </w:r>
      <w:r>
        <w:rPr>
          <w:rFonts w:hint="eastAsia" w:eastAsia="仿宋_GB2312" w:cs="仿宋_GB2312"/>
          <w:color w:val="auto"/>
          <w:kern w:val="2"/>
          <w:sz w:val="32"/>
          <w:szCs w:val="32"/>
          <w:highlight w:val="none"/>
          <w:lang w:val="en-US" w:eastAsia="zh-CN" w:bidi="ar-SA"/>
        </w:rPr>
        <w:t>27.67</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；交通运输支出41.45，</w:t>
      </w:r>
      <w:r>
        <w:rPr>
          <w:rFonts w:hint="eastAsia" w:ascii="Times New Roman" w:hAnsi="Times New Roman" w:eastAsia="仿宋_GB2312" w:cs="仿宋_GB2312"/>
          <w:color w:val="auto"/>
          <w:kern w:val="2"/>
          <w:sz w:val="32"/>
          <w:szCs w:val="32"/>
          <w:highlight w:val="none"/>
          <w:lang w:val="en-US" w:eastAsia="zh-CN" w:bidi="ar-SA"/>
        </w:rPr>
        <w:t>占</w:t>
      </w:r>
      <w:r>
        <w:rPr>
          <w:rFonts w:hint="eastAsia" w:eastAsia="仿宋_GB2312" w:cs="仿宋_GB2312"/>
          <w:color w:val="auto"/>
          <w:kern w:val="2"/>
          <w:sz w:val="32"/>
          <w:szCs w:val="32"/>
          <w:highlight w:val="none"/>
          <w:lang w:val="en-US" w:eastAsia="zh-CN" w:bidi="ar-SA"/>
        </w:rPr>
        <w:t>0.42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；住房保障支出81.33万元，</w:t>
      </w:r>
      <w:r>
        <w:rPr>
          <w:rFonts w:hint="eastAsia" w:ascii="Times New Roman" w:hAnsi="Times New Roman" w:eastAsia="仿宋_GB2312" w:cs="仿宋_GB2312"/>
          <w:color w:val="auto"/>
          <w:kern w:val="2"/>
          <w:sz w:val="32"/>
          <w:szCs w:val="32"/>
          <w:highlight w:val="none"/>
          <w:lang w:val="en-US" w:eastAsia="zh-CN" w:bidi="ar-SA"/>
        </w:rPr>
        <w:t>占</w:t>
      </w:r>
      <w:r>
        <w:rPr>
          <w:rFonts w:hint="eastAsia" w:eastAsia="仿宋_GB2312" w:cs="仿宋_GB2312"/>
          <w:color w:val="auto"/>
          <w:kern w:val="2"/>
          <w:sz w:val="32"/>
          <w:szCs w:val="32"/>
          <w:highlight w:val="none"/>
          <w:lang w:val="en-US" w:eastAsia="zh-CN" w:bidi="ar-SA"/>
        </w:rPr>
        <w:t>0.83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；灾害防治及应急管理支出41.77万元，</w:t>
      </w:r>
      <w:r>
        <w:rPr>
          <w:rFonts w:hint="eastAsia" w:ascii="Times New Roman" w:hAnsi="Times New Roman" w:eastAsia="仿宋_GB2312" w:cs="仿宋_GB2312"/>
          <w:color w:val="auto"/>
          <w:kern w:val="2"/>
          <w:sz w:val="32"/>
          <w:szCs w:val="32"/>
          <w:highlight w:val="none"/>
          <w:lang w:val="en-US" w:eastAsia="zh-CN" w:bidi="ar-SA"/>
        </w:rPr>
        <w:t>占</w:t>
      </w:r>
      <w:r>
        <w:rPr>
          <w:rFonts w:hint="eastAsia" w:eastAsia="仿宋_GB2312" w:cs="仿宋_GB2312"/>
          <w:color w:val="auto"/>
          <w:kern w:val="2"/>
          <w:sz w:val="32"/>
          <w:szCs w:val="32"/>
          <w:highlight w:val="none"/>
          <w:lang w:val="en-US" w:eastAsia="zh-CN" w:bidi="ar-SA"/>
        </w:rPr>
        <w:t>0.43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；其他支出50.15万元，</w:t>
      </w:r>
      <w:r>
        <w:rPr>
          <w:rFonts w:hint="eastAsia" w:ascii="Times New Roman" w:hAnsi="Times New Roman" w:eastAsia="仿宋_GB2312" w:cs="仿宋_GB2312"/>
          <w:color w:val="auto"/>
          <w:kern w:val="2"/>
          <w:sz w:val="32"/>
          <w:szCs w:val="32"/>
          <w:highlight w:val="none"/>
          <w:lang w:val="en-US" w:eastAsia="zh-CN" w:bidi="ar-SA"/>
        </w:rPr>
        <w:t>占</w:t>
      </w:r>
      <w:r>
        <w:rPr>
          <w:rFonts w:hint="eastAsia" w:eastAsia="仿宋_GB2312" w:cs="仿宋_GB2312"/>
          <w:color w:val="auto"/>
          <w:kern w:val="2"/>
          <w:sz w:val="32"/>
          <w:szCs w:val="32"/>
          <w:highlight w:val="none"/>
          <w:lang w:val="en-US" w:eastAsia="zh-CN" w:bidi="ar-SA"/>
        </w:rPr>
        <w:t>0.51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47F65165">
      <w:pPr>
        <w:spacing w:line="240" w:lineRule="auto"/>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4187825" cy="3602990"/>
            <wp:effectExtent l="0" t="0" r="3175" b="16510"/>
            <wp:docPr id="6" name="图片 6"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6"/>
                    <pic:cNvPicPr>
                      <a:picLocks noChangeAspect="1"/>
                    </pic:cNvPicPr>
                  </pic:nvPicPr>
                  <pic:blipFill>
                    <a:blip r:embed="rId12"/>
                    <a:stretch>
                      <a:fillRect/>
                    </a:stretch>
                  </pic:blipFill>
                  <pic:spPr>
                    <a:xfrm>
                      <a:off x="0" y="0"/>
                      <a:ext cx="4187825" cy="3602990"/>
                    </a:xfrm>
                    <a:prstGeom prst="rect">
                      <a:avLst/>
                    </a:prstGeom>
                  </pic:spPr>
                </pic:pic>
              </a:graphicData>
            </a:graphic>
          </wp:inline>
        </w:drawing>
      </w:r>
    </w:p>
    <w:p w14:paraId="0B7ED22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1" w:name="_Toc15377212"/>
      <w:bookmarkStart w:id="52" w:name="_Toc15436"/>
      <w:r>
        <w:rPr>
          <w:rFonts w:hint="eastAsia" w:ascii="Times New Roman" w:hAnsi="Times New Roman" w:eastAsia="楷体_GB2312" w:cs="楷体_GB2312"/>
          <w:b/>
          <w:color w:val="auto"/>
          <w:sz w:val="32"/>
          <w:szCs w:val="32"/>
          <w:highlight w:val="none"/>
        </w:rPr>
        <w:t>（三）一般公共预算财政拨款支出决算具体情况</w:t>
      </w:r>
      <w:bookmarkEnd w:id="51"/>
      <w:bookmarkEnd w:id="52"/>
    </w:p>
    <w:p w14:paraId="096D08A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53" w:name="_Toc15377444"/>
      <w:bookmarkStart w:id="54" w:name="_Toc15378460"/>
      <w:bookmarkStart w:id="55"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9819.69</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53"/>
      <w:bookmarkEnd w:id="54"/>
      <w:bookmarkEnd w:id="55"/>
    </w:p>
    <w:p w14:paraId="439EED69">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一般公共服务</w:t>
      </w:r>
      <w:r>
        <w:rPr>
          <w:rFonts w:hint="eastAsia" w:eastAsia="仿宋_GB2312" w:cs="仿宋_GB2312"/>
          <w:color w:val="auto"/>
          <w:kern w:val="2"/>
          <w:sz w:val="32"/>
          <w:szCs w:val="32"/>
          <w:highlight w:val="none"/>
          <w:lang w:val="en-US" w:eastAsia="zh-CN" w:bidi="ar-SA"/>
        </w:rPr>
        <w:t>（类）</w:t>
      </w:r>
      <w:r>
        <w:rPr>
          <w:rFonts w:hint="eastAsia" w:ascii="Times New Roman" w:hAnsi="Times New Roman" w:eastAsia="仿宋_GB2312" w:cs="仿宋_GB2312"/>
          <w:color w:val="auto"/>
          <w:kern w:val="2"/>
          <w:sz w:val="32"/>
          <w:szCs w:val="32"/>
          <w:highlight w:val="none"/>
          <w:lang w:val="en-US" w:eastAsia="zh-CN" w:bidi="ar-SA"/>
        </w:rPr>
        <w:t>政府办公厅（室）及相关机构事务（款）行政运行（项）:支出决算为</w:t>
      </w:r>
      <w:r>
        <w:rPr>
          <w:rFonts w:hint="eastAsia" w:eastAsia="仿宋_GB2312" w:cs="仿宋_GB2312"/>
          <w:color w:val="auto"/>
          <w:kern w:val="2"/>
          <w:sz w:val="32"/>
          <w:szCs w:val="32"/>
          <w:highlight w:val="none"/>
          <w:lang w:val="en-US" w:eastAsia="zh-CN" w:bidi="ar-SA"/>
        </w:rPr>
        <w:t>438.67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0129AC1">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2.一般公共服务</w:t>
      </w:r>
      <w:r>
        <w:rPr>
          <w:rFonts w:hint="eastAsia" w:eastAsia="仿宋_GB2312" w:cs="仿宋_GB2312"/>
          <w:color w:val="auto"/>
          <w:kern w:val="2"/>
          <w:sz w:val="32"/>
          <w:szCs w:val="32"/>
          <w:highlight w:val="none"/>
          <w:lang w:val="en-US" w:eastAsia="zh-CN" w:bidi="ar-SA"/>
        </w:rPr>
        <w:t>（类）</w:t>
      </w:r>
      <w:r>
        <w:rPr>
          <w:rFonts w:hint="eastAsia" w:ascii="Times New Roman" w:hAnsi="Times New Roman" w:eastAsia="仿宋_GB2312" w:cs="仿宋_GB2312"/>
          <w:color w:val="auto"/>
          <w:kern w:val="2"/>
          <w:sz w:val="32"/>
          <w:szCs w:val="32"/>
          <w:highlight w:val="none"/>
          <w:lang w:val="en-US" w:eastAsia="zh-CN" w:bidi="ar-SA"/>
        </w:rPr>
        <w:t>政府办公厅（室）及相关机构事务（款）</w:t>
      </w:r>
      <w:r>
        <w:rPr>
          <w:rFonts w:hint="eastAsia" w:eastAsia="仿宋_GB2312" w:cs="仿宋_GB2312"/>
          <w:color w:val="auto"/>
          <w:kern w:val="2"/>
          <w:sz w:val="32"/>
          <w:szCs w:val="32"/>
          <w:highlight w:val="none"/>
          <w:lang w:val="en-US" w:eastAsia="zh-CN" w:bidi="ar-SA"/>
        </w:rPr>
        <w:t>事业</w:t>
      </w:r>
      <w:r>
        <w:rPr>
          <w:rFonts w:hint="eastAsia" w:ascii="Times New Roman" w:hAnsi="Times New Roman" w:eastAsia="仿宋_GB2312" w:cs="仿宋_GB2312"/>
          <w:color w:val="auto"/>
          <w:kern w:val="2"/>
          <w:sz w:val="32"/>
          <w:szCs w:val="32"/>
          <w:highlight w:val="none"/>
          <w:lang w:val="en-US" w:eastAsia="zh-CN" w:bidi="ar-SA"/>
        </w:rPr>
        <w:t>运行（项）:支出决算为</w:t>
      </w:r>
      <w:r>
        <w:rPr>
          <w:rFonts w:hint="eastAsia" w:eastAsia="仿宋_GB2312" w:cs="仿宋_GB2312"/>
          <w:color w:val="auto"/>
          <w:kern w:val="2"/>
          <w:sz w:val="32"/>
          <w:szCs w:val="32"/>
          <w:highlight w:val="none"/>
          <w:lang w:val="en-US" w:eastAsia="zh-CN" w:bidi="ar-SA"/>
        </w:rPr>
        <w:t>262.36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653345E">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3.一般公共服务</w:t>
      </w:r>
      <w:r>
        <w:rPr>
          <w:rFonts w:hint="eastAsia" w:eastAsia="仿宋_GB2312" w:cs="仿宋_GB2312"/>
          <w:color w:val="auto"/>
          <w:kern w:val="2"/>
          <w:sz w:val="32"/>
          <w:szCs w:val="32"/>
          <w:highlight w:val="none"/>
          <w:lang w:val="en-US" w:eastAsia="zh-CN" w:bidi="ar-SA"/>
        </w:rPr>
        <w:t>（类）</w:t>
      </w:r>
      <w:r>
        <w:rPr>
          <w:rFonts w:hint="eastAsia" w:ascii="Times New Roman" w:hAnsi="Times New Roman" w:eastAsia="仿宋_GB2312" w:cs="仿宋_GB2312"/>
          <w:color w:val="auto"/>
          <w:kern w:val="2"/>
          <w:sz w:val="32"/>
          <w:szCs w:val="32"/>
          <w:highlight w:val="none"/>
          <w:lang w:val="en-US" w:eastAsia="zh-CN" w:bidi="ar-SA"/>
        </w:rPr>
        <w:t>政府办公厅（室）及相关机构事务（款）其他政府办公厅（室）及相关机构事务支出（项）:支出决算为</w:t>
      </w:r>
      <w:r>
        <w:rPr>
          <w:rFonts w:hint="eastAsia" w:eastAsia="仿宋_GB2312" w:cs="仿宋_GB2312"/>
          <w:color w:val="auto"/>
          <w:kern w:val="2"/>
          <w:sz w:val="32"/>
          <w:szCs w:val="32"/>
          <w:highlight w:val="none"/>
          <w:lang w:val="en-US" w:eastAsia="zh-CN" w:bidi="ar-SA"/>
        </w:rPr>
        <w:t>356.27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CEA5B84">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4.一般公共服务</w:t>
      </w:r>
      <w:r>
        <w:rPr>
          <w:rFonts w:hint="eastAsia" w:eastAsia="仿宋_GB2312" w:cs="仿宋_GB2312"/>
          <w:color w:val="auto"/>
          <w:kern w:val="2"/>
          <w:sz w:val="32"/>
          <w:szCs w:val="32"/>
          <w:highlight w:val="none"/>
          <w:lang w:val="en-US" w:eastAsia="zh-CN" w:bidi="ar-SA"/>
        </w:rPr>
        <w:t>（类）统计信息事务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专项普查活动</w:t>
      </w:r>
      <w:r>
        <w:rPr>
          <w:rFonts w:hint="eastAsia" w:ascii="Times New Roman" w:hAnsi="Times New Roman" w:eastAsia="仿宋_GB2312" w:cs="仿宋_GB2312"/>
          <w:color w:val="auto"/>
          <w:kern w:val="2"/>
          <w:sz w:val="32"/>
          <w:szCs w:val="32"/>
          <w:highlight w:val="none"/>
          <w:lang w:val="en-US" w:eastAsia="zh-CN" w:bidi="ar-SA"/>
        </w:rPr>
        <w:t>（项）:支出决算为</w:t>
      </w:r>
      <w:r>
        <w:rPr>
          <w:rFonts w:hint="eastAsia" w:eastAsia="仿宋_GB2312" w:cs="仿宋_GB2312"/>
          <w:color w:val="auto"/>
          <w:kern w:val="2"/>
          <w:sz w:val="32"/>
          <w:szCs w:val="32"/>
          <w:highlight w:val="none"/>
          <w:lang w:val="en-US" w:eastAsia="zh-CN" w:bidi="ar-SA"/>
        </w:rPr>
        <w:t>3.2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3684716">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5.一般公共服务</w:t>
      </w:r>
      <w:r>
        <w:rPr>
          <w:rFonts w:hint="eastAsia" w:eastAsia="仿宋_GB2312" w:cs="仿宋_GB2312"/>
          <w:color w:val="auto"/>
          <w:kern w:val="2"/>
          <w:sz w:val="32"/>
          <w:szCs w:val="32"/>
          <w:highlight w:val="none"/>
          <w:lang w:val="en-US" w:eastAsia="zh-CN" w:bidi="ar-SA"/>
        </w:rPr>
        <w:t>（类）组织事务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其他组织事务支出</w:t>
      </w:r>
      <w:r>
        <w:rPr>
          <w:rFonts w:hint="eastAsia" w:ascii="Times New Roman" w:hAnsi="Times New Roman" w:eastAsia="仿宋_GB2312" w:cs="仿宋_GB2312"/>
          <w:color w:val="auto"/>
          <w:kern w:val="2"/>
          <w:sz w:val="32"/>
          <w:szCs w:val="32"/>
          <w:highlight w:val="none"/>
          <w:lang w:val="en-US" w:eastAsia="zh-CN" w:bidi="ar-SA"/>
        </w:rPr>
        <w:t>（项）:支出决算为</w:t>
      </w:r>
      <w:r>
        <w:rPr>
          <w:rFonts w:hint="eastAsia" w:eastAsia="仿宋_GB2312" w:cs="仿宋_GB2312"/>
          <w:color w:val="auto"/>
          <w:kern w:val="2"/>
          <w:sz w:val="32"/>
          <w:szCs w:val="32"/>
          <w:highlight w:val="none"/>
          <w:lang w:val="en-US" w:eastAsia="zh-CN" w:bidi="ar-SA"/>
        </w:rPr>
        <w:t>2.68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F51C8A1">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w:t>
      </w:r>
      <w:r>
        <w:rPr>
          <w:rFonts w:hint="eastAsia" w:eastAsia="仿宋_GB2312" w:cs="仿宋_GB2312"/>
          <w:color w:val="auto"/>
          <w:kern w:val="2"/>
          <w:sz w:val="32"/>
          <w:szCs w:val="32"/>
          <w:highlight w:val="none"/>
          <w:lang w:val="en-US" w:eastAsia="zh-CN" w:bidi="ar-SA"/>
        </w:rPr>
        <w:t>公共安全</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公安</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行政运行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227F555">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公共安全</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公安</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一般行政管理事务</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13.12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99D00AA">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社会保障和就业支出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民政管理事务</w:t>
      </w:r>
      <w:r>
        <w:rPr>
          <w:rFonts w:hint="eastAsia" w:ascii="Times New Roman" w:hAnsi="Times New Roman" w:eastAsia="仿宋_GB2312" w:cs="仿宋_GB2312"/>
          <w:color w:val="auto"/>
          <w:kern w:val="2"/>
          <w:sz w:val="32"/>
          <w:szCs w:val="32"/>
          <w:highlight w:val="none"/>
          <w:lang w:val="en-US" w:eastAsia="zh-CN" w:bidi="ar-SA"/>
        </w:rPr>
        <w:t>（款）其他民政管理事务支出（项）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484.5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A833222">
      <w:p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社会保障和就业支出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行政事业单位养老支出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行政单位离退休</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39.68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4554CA5">
      <w:p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社会保障和就业支出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行政事业单位养老支出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事业单位离退休</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20.85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DC7F9A0">
      <w:p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社会保障和就业支出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行政事业单位养老支出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机关事业单位基本养老保险缴费支出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83.47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FB8D0F6">
      <w:p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社会保障和就业支出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行政事业单位养老支出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机关事业单位职业年金缴费支出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28.97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674AC4F">
      <w:p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社会保障和就业支出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社会福利</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养老服务</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3.74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CAFE2DF">
      <w:p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社会保障和就业支出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社会福利</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其他社会福利支出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8604B29">
      <w:p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社会保障和就业支出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其他社会保障和就业支出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其他社会保障和就业支出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50.81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4307157">
      <w:p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卫生健康支出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行政事业性单位医疗</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行政单位医疗</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54.88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255FE08">
      <w:pPr>
        <w:spacing w:line="600" w:lineRule="exact"/>
        <w:ind w:firstLine="640" w:firstLineChars="200"/>
        <w:rPr>
          <w:rFonts w:hint="eastAsia"/>
          <w:lang w:val="en-US" w:eastAsia="zh-CN"/>
        </w:rPr>
      </w:pPr>
      <w:r>
        <w:rPr>
          <w:rFonts w:hint="eastAsia" w:eastAsia="仿宋_GB2312" w:cs="仿宋_GB2312"/>
          <w:color w:val="auto"/>
          <w:kern w:val="2"/>
          <w:sz w:val="32"/>
          <w:szCs w:val="32"/>
          <w:highlight w:val="none"/>
          <w:lang w:val="en-US" w:eastAsia="zh-CN" w:bidi="ar-SA"/>
        </w:rPr>
        <w:t>17.卫生健康支出（类）行政事业性单位医疗（款）事业单位医疗（项）：支出决算为27.8万元，完成预算100%。</w:t>
      </w:r>
    </w:p>
    <w:p w14:paraId="13996279">
      <w:pPr>
        <w:spacing w:line="600" w:lineRule="exact"/>
        <w:ind w:firstLine="640" w:firstLineChars="200"/>
        <w:rPr>
          <w:rFonts w:hint="eastAsia"/>
          <w:lang w:val="en-US" w:eastAsia="zh-CN"/>
        </w:rPr>
      </w:pPr>
      <w:r>
        <w:rPr>
          <w:rFonts w:hint="eastAsia" w:eastAsia="仿宋_GB2312" w:cs="仿宋_GB2312"/>
          <w:color w:val="auto"/>
          <w:kern w:val="2"/>
          <w:sz w:val="32"/>
          <w:szCs w:val="32"/>
          <w:highlight w:val="none"/>
          <w:lang w:val="en-US" w:eastAsia="zh-CN" w:bidi="ar-SA"/>
        </w:rPr>
        <w:t>18.卫生健康支出（类）其他卫生健康支出（款）其他卫生健康支出（项）：支出决算为1.36万元，完成预算100%。</w:t>
      </w:r>
    </w:p>
    <w:p w14:paraId="54EA0B24">
      <w:p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19.城乡社区支出（类）城乡社区管理事务（款）其他城乡社区管理事务支出（项）：支出决算为3504.71万元，完成预算100%。</w:t>
      </w:r>
    </w:p>
    <w:p w14:paraId="0D7A59E9">
      <w:p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20.城乡社区支出（类）城乡社区公共设施（款）其他城乡社区公共设施支出（项）：支出决算为9.52万元，完成预算100%。</w:t>
      </w:r>
    </w:p>
    <w:p w14:paraId="4A14A374">
      <w:p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21.城乡社区支出（类）城乡社区环境卫生（款）城乡社区环境卫生（项）：支出决算为41.89万元，完成预算100%。</w:t>
      </w:r>
    </w:p>
    <w:p w14:paraId="34BA70AE">
      <w:p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22.城乡社区支出（类）其他城乡社区支出（款）其他城乡社区支出（项）：支出决算为1454.26万元，完成预算100%。</w:t>
      </w:r>
    </w:p>
    <w:p w14:paraId="3775E107">
      <w:p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23.农林水支出（类）农业农村（款）病虫害控制（项）：支出决算为1万元，完成预算100%。</w:t>
      </w:r>
    </w:p>
    <w:p w14:paraId="0A7AF73C">
      <w:p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24.农林水支出（类）农业农村（款）防灾救灾（项）：支出决算为3.01万元，完成预算100%。</w:t>
      </w:r>
    </w:p>
    <w:p w14:paraId="24DCC144">
      <w:p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25.农林水支出（类）农业农村（款）对高校毕业生到基层任职补助（项）：支出决算为0.36万元，完成预算100%。</w:t>
      </w:r>
    </w:p>
    <w:p w14:paraId="4D9ED8FE">
      <w:p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26.农林水支出（类）农业农村（款）其他农业农村支出（项）：支出决算为6.45万元，完成预算100%。</w:t>
      </w:r>
    </w:p>
    <w:p w14:paraId="0E7C1719">
      <w:p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27.农林水支出（类）林业和草原（款）林业草原防灾减灾（项）：支出决算为96.88万元，完成预算100%。</w:t>
      </w:r>
    </w:p>
    <w:p w14:paraId="11F4E385">
      <w:p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28.农林水支出（类）林业和草原（款）其他林业和草原支出（项）：支出决算为99.14万元，完成预算100%。</w:t>
      </w:r>
    </w:p>
    <w:p w14:paraId="43837A83">
      <w:p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29.农林水支出（类）水利（款）抗旱（项）：支出决算为104万元，完成预算100%。</w:t>
      </w:r>
    </w:p>
    <w:p w14:paraId="223F6CD1">
      <w:pPr>
        <w:spacing w:line="600" w:lineRule="exact"/>
        <w:ind w:firstLine="640" w:firstLineChars="200"/>
        <w:rPr>
          <w:rFonts w:hint="default"/>
          <w:lang w:val="en-US" w:eastAsia="zh-CN"/>
        </w:rPr>
      </w:pPr>
      <w:r>
        <w:rPr>
          <w:rFonts w:hint="eastAsia" w:eastAsia="仿宋_GB2312" w:cs="仿宋_GB2312"/>
          <w:color w:val="auto"/>
          <w:kern w:val="2"/>
          <w:sz w:val="32"/>
          <w:szCs w:val="32"/>
          <w:highlight w:val="none"/>
          <w:lang w:val="en-US" w:eastAsia="zh-CN" w:bidi="ar-SA"/>
        </w:rPr>
        <w:t>30.农林水支出（类）水利（款）其他水利支出（项）：支出决算为357.66万元，完成预算100%。</w:t>
      </w:r>
    </w:p>
    <w:p w14:paraId="44CE4B30">
      <w:p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31.农林水支出（类）巩固脱贫攻坚成果衔接乡村振兴（款）其他巩固脱贫攻坚成果衔接乡村振兴支出（项）：支出决算为70.79万元，完成预算100%。</w:t>
      </w:r>
    </w:p>
    <w:p w14:paraId="35A226DC">
      <w:pPr>
        <w:spacing w:line="600" w:lineRule="exact"/>
        <w:ind w:firstLine="640" w:firstLineChars="200"/>
        <w:rPr>
          <w:rFonts w:hint="eastAsia"/>
          <w:lang w:val="en-US" w:eastAsia="zh-CN"/>
        </w:rPr>
      </w:pPr>
      <w:r>
        <w:rPr>
          <w:rFonts w:hint="eastAsia" w:eastAsia="仿宋_GB2312" w:cs="仿宋_GB2312"/>
          <w:color w:val="auto"/>
          <w:kern w:val="2"/>
          <w:sz w:val="32"/>
          <w:szCs w:val="32"/>
          <w:highlight w:val="none"/>
          <w:lang w:val="en-US" w:eastAsia="zh-CN" w:bidi="ar-SA"/>
        </w:rPr>
        <w:t>32.农林水支出（类）农村综合改革（款）对村级公益事业建设的补助（项）：支出决算为45万元，完成预算100%。</w:t>
      </w:r>
    </w:p>
    <w:p w14:paraId="33317E95">
      <w:p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33.农林水支出（类）其他农林水支出（款）其他农林水支出（项）：支出决算为1932.98万元，完成预算100%。</w:t>
      </w:r>
    </w:p>
    <w:p w14:paraId="2C291314">
      <w:p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34.交通运输支出（类）公路水路运输（款）其他公路水路运输支出（项）：支出决算为41.45万元，完成预算100%。</w:t>
      </w:r>
    </w:p>
    <w:p w14:paraId="0ED70EA7">
      <w:pPr>
        <w:spacing w:line="600" w:lineRule="exact"/>
        <w:ind w:firstLine="640" w:firstLineChars="200"/>
        <w:rPr>
          <w:rFonts w:hint="eastAsia"/>
          <w:lang w:val="en-US" w:eastAsia="zh-CN"/>
        </w:rPr>
      </w:pPr>
      <w:r>
        <w:rPr>
          <w:rFonts w:hint="eastAsia" w:eastAsia="仿宋_GB2312" w:cs="仿宋_GB2312"/>
          <w:color w:val="auto"/>
          <w:kern w:val="2"/>
          <w:sz w:val="32"/>
          <w:szCs w:val="32"/>
          <w:highlight w:val="none"/>
          <w:lang w:val="en-US" w:eastAsia="zh-CN" w:bidi="ar-SA"/>
        </w:rPr>
        <w:t>35.住房保障支出（类）保障性安居工程支出（款）公共租赁住房（项）：支出决算为12.69万元，完成预算100%。</w:t>
      </w:r>
    </w:p>
    <w:p w14:paraId="4410AAB7">
      <w:p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36.住房保障支出（类）住房改革支出（款）住房公积金（项）：支出决算为68.64万元，完成预算100%。</w:t>
      </w:r>
    </w:p>
    <w:p w14:paraId="6081B569">
      <w:pPr>
        <w:spacing w:line="600" w:lineRule="exact"/>
        <w:ind w:firstLine="640" w:firstLineChars="200"/>
        <w:rPr>
          <w:rFonts w:hint="eastAsia"/>
          <w:lang w:val="en-US" w:eastAsia="zh-CN"/>
        </w:rPr>
      </w:pPr>
      <w:r>
        <w:rPr>
          <w:rFonts w:hint="eastAsia" w:eastAsia="仿宋_GB2312" w:cs="仿宋_GB2312"/>
          <w:color w:val="auto"/>
          <w:kern w:val="2"/>
          <w:sz w:val="32"/>
          <w:szCs w:val="32"/>
          <w:highlight w:val="none"/>
          <w:lang w:val="en-US" w:eastAsia="zh-CN" w:bidi="ar-SA"/>
        </w:rPr>
        <w:t>37.灾害防治及应急管理支出（类）其他灾害防治及应急管理支出（款）其他灾害防治及应急管理支出（项）：支出决算为41.77万元，完成预算100%。</w:t>
      </w:r>
    </w:p>
    <w:p w14:paraId="0CA5BDBF">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38.其他支出（类）其他支出（款）其他支出（项）：支出决算为50.15万元，完成预算100%。</w:t>
      </w:r>
    </w:p>
    <w:p w14:paraId="607C70E0">
      <w:pPr>
        <w:tabs>
          <w:tab w:val="right" w:pos="8306"/>
        </w:tabs>
        <w:spacing w:line="600" w:lineRule="exact"/>
        <w:ind w:firstLine="640" w:firstLineChars="0"/>
        <w:outlineLvl w:val="1"/>
        <w:rPr>
          <w:rStyle w:val="29"/>
          <w:rFonts w:ascii="Times New Roman" w:hAnsi="Times New Roman"/>
          <w:color w:val="auto"/>
          <w:highlight w:val="none"/>
        </w:rPr>
      </w:pPr>
      <w:bookmarkStart w:id="56" w:name="_Toc15396608"/>
      <w:bookmarkStart w:id="57" w:name="_Toc15377214"/>
      <w:bookmarkStart w:id="58" w:name="_Toc9301"/>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56"/>
      <w:bookmarkEnd w:id="57"/>
      <w:bookmarkEnd w:id="58"/>
      <w:r>
        <w:rPr>
          <w:rStyle w:val="29"/>
          <w:rFonts w:ascii="Times New Roman" w:hAnsi="Times New Roman" w:eastAsia="黑体"/>
          <w:b w:val="0"/>
          <w:color w:val="auto"/>
          <w:highlight w:val="none"/>
        </w:rPr>
        <w:tab/>
      </w:r>
    </w:p>
    <w:p w14:paraId="04E3414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1034.43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505DFE6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941.56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w:t>
      </w:r>
      <w:r>
        <w:rPr>
          <w:rFonts w:hint="eastAsia" w:eastAsia="仿宋_GB2312" w:cs="仿宋_GB2312"/>
          <w:color w:val="auto"/>
          <w:kern w:val="2"/>
          <w:sz w:val="32"/>
          <w:szCs w:val="32"/>
          <w:highlight w:val="none"/>
          <w:lang w:val="en-US" w:eastAsia="zh-CN" w:bidi="ar-SA"/>
        </w:rPr>
        <w:t>197.71万元</w:t>
      </w:r>
      <w:r>
        <w:rPr>
          <w:rFonts w:hint="eastAsia" w:ascii="Times New Roman" w:hAnsi="Times New Roman" w:eastAsia="仿宋_GB2312" w:cs="仿宋_GB2312"/>
          <w:color w:val="auto"/>
          <w:kern w:val="2"/>
          <w:sz w:val="32"/>
          <w:szCs w:val="32"/>
          <w:highlight w:val="none"/>
          <w:lang w:val="en-US" w:eastAsia="zh-CN" w:bidi="ar-SA"/>
        </w:rPr>
        <w:t>、津贴补贴</w:t>
      </w:r>
      <w:r>
        <w:rPr>
          <w:rFonts w:hint="eastAsia" w:eastAsia="仿宋_GB2312" w:cs="仿宋_GB2312"/>
          <w:color w:val="auto"/>
          <w:kern w:val="2"/>
          <w:sz w:val="32"/>
          <w:szCs w:val="32"/>
          <w:highlight w:val="none"/>
          <w:lang w:val="en-US" w:eastAsia="zh-CN" w:bidi="ar-SA"/>
        </w:rPr>
        <w:t>110.97万元</w:t>
      </w:r>
      <w:r>
        <w:rPr>
          <w:rFonts w:hint="eastAsia" w:ascii="Times New Roman" w:hAnsi="Times New Roman" w:eastAsia="仿宋_GB2312" w:cs="仿宋_GB2312"/>
          <w:color w:val="auto"/>
          <w:kern w:val="2"/>
          <w:sz w:val="32"/>
          <w:szCs w:val="32"/>
          <w:highlight w:val="none"/>
          <w:lang w:val="en-US" w:eastAsia="zh-CN" w:bidi="ar-SA"/>
        </w:rPr>
        <w:t>、奖金</w:t>
      </w:r>
      <w:r>
        <w:rPr>
          <w:rFonts w:hint="eastAsia" w:eastAsia="仿宋_GB2312" w:cs="仿宋_GB2312"/>
          <w:color w:val="auto"/>
          <w:kern w:val="2"/>
          <w:sz w:val="32"/>
          <w:szCs w:val="32"/>
          <w:highlight w:val="none"/>
          <w:lang w:val="en-US" w:eastAsia="zh-CN" w:bidi="ar-SA"/>
        </w:rPr>
        <w:t>147.71万元</w:t>
      </w:r>
      <w:r>
        <w:rPr>
          <w:rFonts w:hint="eastAsia" w:ascii="Times New Roman" w:hAnsi="Times New Roman" w:eastAsia="仿宋_GB2312" w:cs="仿宋_GB2312"/>
          <w:color w:val="auto"/>
          <w:kern w:val="2"/>
          <w:sz w:val="32"/>
          <w:szCs w:val="32"/>
          <w:highlight w:val="none"/>
          <w:lang w:val="en-US" w:eastAsia="zh-CN" w:bidi="ar-SA"/>
        </w:rPr>
        <w:t>、绩效工资</w:t>
      </w:r>
      <w:r>
        <w:rPr>
          <w:rFonts w:hint="eastAsia" w:eastAsia="仿宋_GB2312" w:cs="仿宋_GB2312"/>
          <w:color w:val="auto"/>
          <w:kern w:val="2"/>
          <w:sz w:val="32"/>
          <w:szCs w:val="32"/>
          <w:highlight w:val="none"/>
          <w:lang w:val="en-US" w:eastAsia="zh-CN" w:bidi="ar-SA"/>
        </w:rPr>
        <w:t>128.25万元</w:t>
      </w:r>
      <w:r>
        <w:rPr>
          <w:rFonts w:hint="eastAsia" w:ascii="Times New Roman" w:hAnsi="Times New Roman" w:eastAsia="仿宋_GB2312" w:cs="仿宋_GB2312"/>
          <w:color w:val="auto"/>
          <w:kern w:val="2"/>
          <w:sz w:val="32"/>
          <w:szCs w:val="32"/>
          <w:highlight w:val="none"/>
          <w:lang w:val="en-US" w:eastAsia="zh-CN" w:bidi="ar-SA"/>
        </w:rPr>
        <w:t>、机关事业单位基本养老保险缴费</w:t>
      </w:r>
      <w:r>
        <w:rPr>
          <w:rFonts w:hint="eastAsia" w:eastAsia="仿宋_GB2312" w:cs="仿宋_GB2312"/>
          <w:color w:val="auto"/>
          <w:kern w:val="2"/>
          <w:sz w:val="32"/>
          <w:szCs w:val="32"/>
          <w:highlight w:val="none"/>
          <w:lang w:val="en-US" w:eastAsia="zh-CN" w:bidi="ar-SA"/>
        </w:rPr>
        <w:t>83.47万元</w:t>
      </w:r>
      <w:r>
        <w:rPr>
          <w:rFonts w:hint="eastAsia" w:ascii="Times New Roman" w:hAnsi="Times New Roman" w:eastAsia="仿宋_GB2312" w:cs="仿宋_GB2312"/>
          <w:color w:val="auto"/>
          <w:kern w:val="2"/>
          <w:sz w:val="32"/>
          <w:szCs w:val="32"/>
          <w:highlight w:val="none"/>
          <w:lang w:val="en-US" w:eastAsia="zh-CN" w:bidi="ar-SA"/>
        </w:rPr>
        <w:t>、职业年金缴费</w:t>
      </w:r>
      <w:r>
        <w:rPr>
          <w:rFonts w:hint="eastAsia" w:eastAsia="仿宋_GB2312" w:cs="仿宋_GB2312"/>
          <w:color w:val="auto"/>
          <w:kern w:val="2"/>
          <w:sz w:val="32"/>
          <w:szCs w:val="32"/>
          <w:highlight w:val="none"/>
          <w:lang w:val="en-US" w:eastAsia="zh-CN" w:bidi="ar-SA"/>
        </w:rPr>
        <w:t>28.97万元</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职工基本医疗保险缴费46.14万元、公务员医疗补助缴费36.53万元、</w:t>
      </w:r>
      <w:r>
        <w:rPr>
          <w:rFonts w:hint="eastAsia" w:ascii="Times New Roman" w:hAnsi="Times New Roman" w:eastAsia="仿宋_GB2312" w:cs="仿宋_GB2312"/>
          <w:color w:val="auto"/>
          <w:kern w:val="2"/>
          <w:sz w:val="32"/>
          <w:szCs w:val="32"/>
          <w:highlight w:val="none"/>
          <w:lang w:val="en-US" w:eastAsia="zh-CN" w:bidi="ar-SA"/>
        </w:rPr>
        <w:t>其他社会保障缴费</w:t>
      </w:r>
      <w:r>
        <w:rPr>
          <w:rFonts w:hint="eastAsia" w:eastAsia="仿宋_GB2312" w:cs="仿宋_GB2312"/>
          <w:color w:val="auto"/>
          <w:kern w:val="2"/>
          <w:sz w:val="32"/>
          <w:szCs w:val="32"/>
          <w:highlight w:val="none"/>
          <w:lang w:val="en-US" w:eastAsia="zh-CN" w:bidi="ar-SA"/>
        </w:rPr>
        <w:t>3.5万元</w:t>
      </w:r>
      <w:r>
        <w:rPr>
          <w:rFonts w:hint="eastAsia" w:ascii="Times New Roman" w:hAnsi="Times New Roman" w:eastAsia="仿宋_GB2312" w:cs="仿宋_GB2312"/>
          <w:color w:val="auto"/>
          <w:kern w:val="2"/>
          <w:sz w:val="32"/>
          <w:szCs w:val="32"/>
          <w:highlight w:val="none"/>
          <w:lang w:val="en-US" w:eastAsia="zh-CN" w:bidi="ar-SA"/>
        </w:rPr>
        <w:t>、住房公积金</w:t>
      </w:r>
      <w:r>
        <w:rPr>
          <w:rFonts w:hint="eastAsia" w:eastAsia="仿宋_GB2312" w:cs="仿宋_GB2312"/>
          <w:color w:val="auto"/>
          <w:kern w:val="2"/>
          <w:sz w:val="32"/>
          <w:szCs w:val="32"/>
          <w:highlight w:val="none"/>
          <w:lang w:val="en-US" w:eastAsia="zh-CN" w:bidi="ar-SA"/>
        </w:rPr>
        <w:t>68.64万元</w:t>
      </w:r>
      <w:r>
        <w:rPr>
          <w:rFonts w:hint="eastAsia" w:ascii="Times New Roman" w:hAnsi="Times New Roman" w:eastAsia="仿宋_GB2312" w:cs="仿宋_GB2312"/>
          <w:color w:val="auto"/>
          <w:kern w:val="2"/>
          <w:sz w:val="32"/>
          <w:szCs w:val="32"/>
          <w:highlight w:val="none"/>
          <w:lang w:val="en-US" w:eastAsia="zh-CN" w:bidi="ar-SA"/>
        </w:rPr>
        <w:t>、其他工资福利支出</w:t>
      </w:r>
      <w:r>
        <w:rPr>
          <w:rFonts w:hint="eastAsia" w:eastAsia="仿宋_GB2312" w:cs="仿宋_GB2312"/>
          <w:color w:val="auto"/>
          <w:kern w:val="2"/>
          <w:sz w:val="32"/>
          <w:szCs w:val="32"/>
          <w:highlight w:val="none"/>
          <w:lang w:val="en-US" w:eastAsia="zh-CN" w:bidi="ar-SA"/>
        </w:rPr>
        <w:t>24.44万元</w:t>
      </w:r>
      <w:r>
        <w:rPr>
          <w:rFonts w:hint="eastAsia" w:ascii="Times New Roman" w:hAnsi="Times New Roman" w:eastAsia="仿宋_GB2312" w:cs="仿宋_GB2312"/>
          <w:color w:val="auto"/>
          <w:kern w:val="2"/>
          <w:sz w:val="32"/>
          <w:szCs w:val="32"/>
          <w:highlight w:val="none"/>
          <w:lang w:val="en-US" w:eastAsia="zh-CN" w:bidi="ar-SA"/>
        </w:rPr>
        <w:t>、生活补助</w:t>
      </w:r>
      <w:r>
        <w:rPr>
          <w:rFonts w:hint="eastAsia" w:eastAsia="仿宋_GB2312" w:cs="仿宋_GB2312"/>
          <w:color w:val="auto"/>
          <w:kern w:val="2"/>
          <w:sz w:val="32"/>
          <w:szCs w:val="32"/>
          <w:highlight w:val="none"/>
          <w:lang w:val="en-US" w:eastAsia="zh-CN" w:bidi="ar-SA"/>
        </w:rPr>
        <w:t>61.63万元</w:t>
      </w:r>
      <w:r>
        <w:rPr>
          <w:rFonts w:hint="eastAsia" w:ascii="Times New Roman" w:hAnsi="Times New Roman" w:eastAsia="仿宋_GB2312" w:cs="仿宋_GB2312"/>
          <w:color w:val="auto"/>
          <w:kern w:val="2"/>
          <w:sz w:val="32"/>
          <w:szCs w:val="32"/>
          <w:highlight w:val="none"/>
          <w:lang w:val="en-US" w:eastAsia="zh-CN" w:bidi="ar-SA"/>
        </w:rPr>
        <w:t>、医疗费补助</w:t>
      </w:r>
      <w:r>
        <w:rPr>
          <w:rFonts w:hint="eastAsia" w:eastAsia="仿宋_GB2312" w:cs="仿宋_GB2312"/>
          <w:color w:val="auto"/>
          <w:kern w:val="2"/>
          <w:sz w:val="32"/>
          <w:szCs w:val="32"/>
          <w:highlight w:val="none"/>
          <w:lang w:val="en-US" w:eastAsia="zh-CN" w:bidi="ar-SA"/>
        </w:rPr>
        <w:t>3.59万元</w:t>
      </w:r>
      <w:r>
        <w:rPr>
          <w:rFonts w:hint="eastAsia" w:ascii="Times New Roman" w:hAnsi="Times New Roman" w:eastAsia="仿宋_GB2312" w:cs="仿宋_GB2312"/>
          <w:color w:val="auto"/>
          <w:kern w:val="2"/>
          <w:sz w:val="32"/>
          <w:szCs w:val="32"/>
          <w:highlight w:val="none"/>
          <w:lang w:val="en-US" w:eastAsia="zh-CN" w:bidi="ar-SA"/>
        </w:rPr>
        <w:t>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92.88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w:t>
      </w:r>
      <w:r>
        <w:rPr>
          <w:rFonts w:hint="eastAsia" w:eastAsia="仿宋_GB2312" w:cs="仿宋_GB2312"/>
          <w:color w:val="auto"/>
          <w:kern w:val="2"/>
          <w:sz w:val="32"/>
          <w:szCs w:val="32"/>
          <w:highlight w:val="none"/>
          <w:lang w:val="en-US" w:eastAsia="zh-CN" w:bidi="ar-SA"/>
        </w:rPr>
        <w:t>20.1万元、</w:t>
      </w:r>
      <w:r>
        <w:rPr>
          <w:rFonts w:hint="eastAsia" w:ascii="Times New Roman" w:hAnsi="Times New Roman" w:eastAsia="仿宋_GB2312" w:cs="仿宋_GB2312"/>
          <w:color w:val="auto"/>
          <w:kern w:val="2"/>
          <w:sz w:val="32"/>
          <w:szCs w:val="32"/>
          <w:highlight w:val="none"/>
          <w:lang w:val="en-US" w:eastAsia="zh-CN" w:bidi="ar-SA"/>
        </w:rPr>
        <w:t>邮电费</w:t>
      </w:r>
      <w:r>
        <w:rPr>
          <w:rFonts w:hint="eastAsia" w:eastAsia="仿宋_GB2312" w:cs="仿宋_GB2312"/>
          <w:color w:val="auto"/>
          <w:kern w:val="2"/>
          <w:sz w:val="32"/>
          <w:szCs w:val="32"/>
          <w:highlight w:val="none"/>
          <w:lang w:val="en-US" w:eastAsia="zh-CN" w:bidi="ar-SA"/>
        </w:rPr>
        <w:t>2.22万元</w:t>
      </w:r>
      <w:r>
        <w:rPr>
          <w:rFonts w:hint="eastAsia" w:ascii="Times New Roman" w:hAnsi="Times New Roman" w:eastAsia="仿宋_GB2312" w:cs="仿宋_GB2312"/>
          <w:color w:val="auto"/>
          <w:kern w:val="2"/>
          <w:sz w:val="32"/>
          <w:szCs w:val="32"/>
          <w:highlight w:val="none"/>
          <w:lang w:val="en-US" w:eastAsia="zh-CN" w:bidi="ar-SA"/>
        </w:rPr>
        <w:t>、差旅费</w:t>
      </w:r>
      <w:r>
        <w:rPr>
          <w:rFonts w:hint="eastAsia" w:eastAsia="仿宋_GB2312" w:cs="仿宋_GB2312"/>
          <w:color w:val="auto"/>
          <w:kern w:val="2"/>
          <w:sz w:val="32"/>
          <w:szCs w:val="32"/>
          <w:highlight w:val="none"/>
          <w:lang w:val="en-US" w:eastAsia="zh-CN" w:bidi="ar-SA"/>
        </w:rPr>
        <w:t>5.68万元</w:t>
      </w:r>
      <w:r>
        <w:rPr>
          <w:rFonts w:hint="eastAsia" w:ascii="Times New Roman" w:hAnsi="Times New Roman" w:eastAsia="仿宋_GB2312" w:cs="仿宋_GB2312"/>
          <w:color w:val="auto"/>
          <w:kern w:val="2"/>
          <w:sz w:val="32"/>
          <w:szCs w:val="32"/>
          <w:highlight w:val="none"/>
          <w:lang w:val="en-US" w:eastAsia="zh-CN" w:bidi="ar-SA"/>
        </w:rPr>
        <w:t>、会议费</w:t>
      </w:r>
      <w:r>
        <w:rPr>
          <w:rFonts w:hint="eastAsia" w:eastAsia="仿宋_GB2312" w:cs="仿宋_GB2312"/>
          <w:color w:val="auto"/>
          <w:kern w:val="2"/>
          <w:sz w:val="32"/>
          <w:szCs w:val="32"/>
          <w:highlight w:val="none"/>
          <w:lang w:val="en-US" w:eastAsia="zh-CN" w:bidi="ar-SA"/>
        </w:rPr>
        <w:t>5.21万元、</w:t>
      </w:r>
      <w:r>
        <w:rPr>
          <w:rFonts w:hint="eastAsia" w:ascii="Times New Roman" w:hAnsi="Times New Roman" w:eastAsia="仿宋_GB2312" w:cs="仿宋_GB2312"/>
          <w:color w:val="auto"/>
          <w:kern w:val="2"/>
          <w:sz w:val="32"/>
          <w:szCs w:val="32"/>
          <w:highlight w:val="none"/>
          <w:lang w:val="en-US" w:eastAsia="zh-CN" w:bidi="ar-SA"/>
        </w:rPr>
        <w:t>劳务费</w:t>
      </w:r>
      <w:r>
        <w:rPr>
          <w:rFonts w:hint="eastAsia" w:eastAsia="仿宋_GB2312" w:cs="仿宋_GB2312"/>
          <w:color w:val="auto"/>
          <w:kern w:val="2"/>
          <w:sz w:val="32"/>
          <w:szCs w:val="32"/>
          <w:highlight w:val="none"/>
          <w:lang w:val="en-US" w:eastAsia="zh-CN" w:bidi="ar-SA"/>
        </w:rPr>
        <w:t>0.7万元</w:t>
      </w:r>
      <w:r>
        <w:rPr>
          <w:rFonts w:hint="eastAsia" w:ascii="Times New Roman" w:hAnsi="Times New Roman" w:eastAsia="仿宋_GB2312" w:cs="仿宋_GB2312"/>
          <w:color w:val="auto"/>
          <w:kern w:val="2"/>
          <w:sz w:val="32"/>
          <w:szCs w:val="32"/>
          <w:highlight w:val="none"/>
          <w:lang w:val="en-US" w:eastAsia="zh-CN" w:bidi="ar-SA"/>
        </w:rPr>
        <w:t>、工会经费</w:t>
      </w:r>
      <w:r>
        <w:rPr>
          <w:rFonts w:hint="eastAsia" w:eastAsia="仿宋_GB2312" w:cs="仿宋_GB2312"/>
          <w:color w:val="auto"/>
          <w:kern w:val="2"/>
          <w:sz w:val="32"/>
          <w:szCs w:val="32"/>
          <w:highlight w:val="none"/>
          <w:lang w:val="en-US" w:eastAsia="zh-CN" w:bidi="ar-SA"/>
        </w:rPr>
        <w:t>11.99万元</w:t>
      </w:r>
      <w:r>
        <w:rPr>
          <w:rFonts w:hint="eastAsia" w:ascii="Times New Roman" w:hAnsi="Times New Roman" w:eastAsia="仿宋_GB2312" w:cs="仿宋_GB2312"/>
          <w:color w:val="auto"/>
          <w:kern w:val="2"/>
          <w:sz w:val="32"/>
          <w:szCs w:val="32"/>
          <w:highlight w:val="none"/>
          <w:lang w:val="en-US" w:eastAsia="zh-CN" w:bidi="ar-SA"/>
        </w:rPr>
        <w:t>、福利费</w:t>
      </w:r>
      <w:r>
        <w:rPr>
          <w:rFonts w:hint="eastAsia" w:eastAsia="仿宋_GB2312" w:cs="仿宋_GB2312"/>
          <w:color w:val="auto"/>
          <w:kern w:val="2"/>
          <w:sz w:val="32"/>
          <w:szCs w:val="32"/>
          <w:highlight w:val="none"/>
          <w:lang w:val="en-US" w:eastAsia="zh-CN" w:bidi="ar-SA"/>
        </w:rPr>
        <w:t>3.55万元</w:t>
      </w:r>
      <w:r>
        <w:rPr>
          <w:rFonts w:hint="eastAsia" w:ascii="Times New Roman" w:hAnsi="Times New Roman" w:eastAsia="仿宋_GB2312" w:cs="仿宋_GB2312"/>
          <w:color w:val="auto"/>
          <w:kern w:val="2"/>
          <w:sz w:val="32"/>
          <w:szCs w:val="32"/>
          <w:highlight w:val="none"/>
          <w:lang w:val="en-US" w:eastAsia="zh-CN" w:bidi="ar-SA"/>
        </w:rPr>
        <w:t>、公务用车运行维护费</w:t>
      </w:r>
      <w:r>
        <w:rPr>
          <w:rFonts w:hint="eastAsia" w:eastAsia="仿宋_GB2312" w:cs="仿宋_GB2312"/>
          <w:color w:val="auto"/>
          <w:kern w:val="2"/>
          <w:sz w:val="32"/>
          <w:szCs w:val="32"/>
          <w:highlight w:val="none"/>
          <w:lang w:val="en-US" w:eastAsia="zh-CN" w:bidi="ar-SA"/>
        </w:rPr>
        <w:t>7.57万元</w:t>
      </w:r>
      <w:r>
        <w:rPr>
          <w:rFonts w:hint="eastAsia" w:ascii="Times New Roman" w:hAnsi="Times New Roman" w:eastAsia="仿宋_GB2312" w:cs="仿宋_GB2312"/>
          <w:color w:val="auto"/>
          <w:kern w:val="2"/>
          <w:sz w:val="32"/>
          <w:szCs w:val="32"/>
          <w:highlight w:val="none"/>
          <w:lang w:val="en-US" w:eastAsia="zh-CN" w:bidi="ar-SA"/>
        </w:rPr>
        <w:t>、其他交通费</w:t>
      </w:r>
      <w:r>
        <w:rPr>
          <w:rFonts w:hint="eastAsia" w:eastAsia="仿宋_GB2312" w:cs="仿宋_GB2312"/>
          <w:color w:val="auto"/>
          <w:kern w:val="2"/>
          <w:sz w:val="32"/>
          <w:szCs w:val="32"/>
          <w:highlight w:val="none"/>
          <w:lang w:val="en-US" w:eastAsia="zh-CN" w:bidi="ar-SA"/>
        </w:rPr>
        <w:t>22.23万元</w:t>
      </w:r>
      <w:r>
        <w:rPr>
          <w:rFonts w:hint="eastAsia" w:ascii="Times New Roman" w:hAnsi="Times New Roman" w:eastAsia="仿宋_GB2312" w:cs="仿宋_GB2312"/>
          <w:color w:val="auto"/>
          <w:kern w:val="2"/>
          <w:sz w:val="32"/>
          <w:szCs w:val="32"/>
          <w:highlight w:val="none"/>
          <w:lang w:val="en-US" w:eastAsia="zh-CN" w:bidi="ar-SA"/>
        </w:rPr>
        <w:t>、其他商品和服务支出</w:t>
      </w:r>
      <w:r>
        <w:rPr>
          <w:rFonts w:hint="eastAsia" w:eastAsia="仿宋_GB2312" w:cs="仿宋_GB2312"/>
          <w:color w:val="auto"/>
          <w:kern w:val="2"/>
          <w:sz w:val="32"/>
          <w:szCs w:val="32"/>
          <w:highlight w:val="none"/>
          <w:lang w:val="en-US" w:eastAsia="zh-CN" w:bidi="ar-SA"/>
        </w:rPr>
        <w:t>13.63万元</w:t>
      </w:r>
      <w:r>
        <w:rPr>
          <w:rFonts w:hint="eastAsia" w:ascii="Times New Roman" w:hAnsi="Times New Roman" w:eastAsia="仿宋_GB2312" w:cs="仿宋_GB2312"/>
          <w:color w:val="auto"/>
          <w:kern w:val="2"/>
          <w:sz w:val="32"/>
          <w:szCs w:val="32"/>
          <w:highlight w:val="none"/>
          <w:lang w:val="en-US" w:eastAsia="zh-CN" w:bidi="ar-SA"/>
        </w:rPr>
        <w:t>等。</w:t>
      </w:r>
    </w:p>
    <w:p w14:paraId="72281370">
      <w:pPr>
        <w:spacing w:line="600" w:lineRule="exact"/>
        <w:ind w:firstLine="640" w:firstLineChars="0"/>
        <w:outlineLvl w:val="1"/>
        <w:rPr>
          <w:rStyle w:val="29"/>
          <w:rFonts w:ascii="Times New Roman" w:hAnsi="Times New Roman" w:eastAsia="黑体"/>
          <w:b w:val="0"/>
          <w:color w:val="auto"/>
          <w:highlight w:val="none"/>
        </w:rPr>
      </w:pPr>
      <w:bookmarkStart w:id="59" w:name="_Toc15377215"/>
      <w:bookmarkStart w:id="60" w:name="_Toc15396609"/>
      <w:bookmarkStart w:id="61" w:name="_Toc2228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59"/>
      <w:bookmarkEnd w:id="60"/>
      <w:bookmarkEnd w:id="61"/>
    </w:p>
    <w:p w14:paraId="0F9C46D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2" w:name="_Toc15377216"/>
      <w:bookmarkStart w:id="63" w:name="_Toc26076"/>
      <w:r>
        <w:rPr>
          <w:rFonts w:hint="eastAsia" w:ascii="Times New Roman" w:hAnsi="Times New Roman" w:eastAsia="楷体_GB2312" w:cs="楷体_GB2312"/>
          <w:b/>
          <w:color w:val="auto"/>
          <w:sz w:val="32"/>
          <w:szCs w:val="32"/>
          <w:highlight w:val="none"/>
        </w:rPr>
        <w:t>（一）“三公”经费财政拨款支出决算总体情况说明</w:t>
      </w:r>
      <w:bookmarkEnd w:id="62"/>
      <w:bookmarkEnd w:id="63"/>
    </w:p>
    <w:p w14:paraId="55A2C4E6">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7.57</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16.54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决算数</w:t>
      </w:r>
      <w:r>
        <w:rPr>
          <w:rFonts w:hint="eastAsia" w:ascii="Times New Roman" w:hAnsi="Times New Roman" w:eastAsia="仿宋_GB2312" w:cs="仿宋_GB2312"/>
          <w:color w:val="auto"/>
          <w:kern w:val="2"/>
          <w:sz w:val="32"/>
          <w:szCs w:val="32"/>
          <w:highlight w:val="none"/>
          <w:lang w:val="en-US" w:eastAsia="zh-CN" w:bidi="ar-SA"/>
        </w:rPr>
        <w:t>与预算数持平</w:t>
      </w:r>
      <w:r>
        <w:rPr>
          <w:rFonts w:hint="eastAsia" w:eastAsia="仿宋_GB2312" w:cs="仿宋_GB2312"/>
          <w:color w:val="auto"/>
          <w:kern w:val="2"/>
          <w:sz w:val="32"/>
          <w:szCs w:val="32"/>
          <w:highlight w:val="none"/>
          <w:lang w:val="en-US" w:eastAsia="zh-CN" w:bidi="ar-SA"/>
        </w:rPr>
        <w:t>。</w:t>
      </w:r>
    </w:p>
    <w:p w14:paraId="46EFBDD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4" w:name="_Toc15377217"/>
      <w:bookmarkStart w:id="65" w:name="_Toc20028"/>
      <w:r>
        <w:rPr>
          <w:rFonts w:hint="eastAsia" w:ascii="Times New Roman" w:hAnsi="Times New Roman" w:eastAsia="楷体_GB2312" w:cs="楷体_GB2312"/>
          <w:b/>
          <w:color w:val="auto"/>
          <w:sz w:val="32"/>
          <w:szCs w:val="32"/>
          <w:highlight w:val="none"/>
        </w:rPr>
        <w:t>（二）“三公”经费财政拨款支出决算具体情况说明</w:t>
      </w:r>
      <w:bookmarkEnd w:id="64"/>
      <w:bookmarkEnd w:id="65"/>
    </w:p>
    <w:p w14:paraId="31D0B039">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7.57</w:t>
      </w:r>
      <w:r>
        <w:rPr>
          <w:rFonts w:hint="eastAsia" w:ascii="仿宋_GB2312" w:hAnsi="仿宋_GB2312" w:eastAsia="仿宋_GB2312" w:cs="仿宋_GB2312"/>
          <w:color w:val="auto"/>
          <w:kern w:val="2"/>
          <w:sz w:val="32"/>
          <w:szCs w:val="32"/>
          <w:highlight w:val="none"/>
          <w:lang w:val="en-US" w:eastAsia="zh-CN" w:bidi="ar-SA"/>
        </w:rPr>
        <w:t>万元，100%；公务接待费支出决算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5B11BD5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02AC3D1A">
      <w:pPr>
        <w:pStyle w:val="2"/>
        <w:jc w:val="center"/>
        <w:rPr>
          <w:rFonts w:hint="eastAsia"/>
          <w:lang w:val="en-US" w:eastAsia="zh-CN"/>
        </w:rPr>
      </w:pPr>
      <w:r>
        <w:rPr>
          <w:rFonts w:hint="eastAsia"/>
          <w:lang w:val="en-US" w:eastAsia="zh-CN"/>
        </w:rPr>
        <w:drawing>
          <wp:inline distT="0" distB="0" distL="114300" distR="114300">
            <wp:extent cx="4439285" cy="2873375"/>
            <wp:effectExtent l="0" t="0" r="18415" b="3175"/>
            <wp:docPr id="7" name="图片 7"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7"/>
                    <pic:cNvPicPr>
                      <a:picLocks noChangeAspect="1"/>
                    </pic:cNvPicPr>
                  </pic:nvPicPr>
                  <pic:blipFill>
                    <a:blip r:embed="rId13"/>
                    <a:stretch>
                      <a:fillRect/>
                    </a:stretch>
                  </pic:blipFill>
                  <pic:spPr>
                    <a:xfrm>
                      <a:off x="0" y="0"/>
                      <a:ext cx="4439285" cy="2873375"/>
                    </a:xfrm>
                    <a:prstGeom prst="rect">
                      <a:avLst/>
                    </a:prstGeom>
                  </pic:spPr>
                </pic:pic>
              </a:graphicData>
            </a:graphic>
          </wp:inline>
        </w:drawing>
      </w:r>
    </w:p>
    <w:p w14:paraId="302B0689">
      <w:p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1.因公出国（境）经费支出**万元，完成预算**%。</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 xml:space="preserve">        </w:t>
      </w: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7.57万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公务用车购置及运行维护费支出决算比2023年度增减少</w:t>
      </w: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16.54</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eastAsia="仿宋_GB2312"/>
          <w:sz w:val="32"/>
          <w:szCs w:val="32"/>
        </w:rPr>
        <w:t>厉行节约运行成本减少公务用车运行维护费用</w:t>
      </w:r>
      <w:r>
        <w:rPr>
          <w:rFonts w:hint="eastAsia" w:ascii="仿宋_GB2312" w:eastAsia="仿宋_GB2312"/>
          <w:sz w:val="32"/>
          <w:szCs w:val="32"/>
          <w:lang w:eastAsia="zh-CN"/>
        </w:rPr>
        <w:t>。</w:t>
      </w:r>
    </w:p>
    <w:p w14:paraId="354E52D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6E05B3A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截至2024年12月31日，单位共有公务用车</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4BA309A1">
      <w:pPr>
        <w:spacing w:line="600" w:lineRule="exact"/>
        <w:ind w:firstLine="640"/>
        <w:rPr>
          <w:rFonts w:ascii="仿宋_GB2312" w:eastAsia="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7.57</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ascii="仿宋_GB2312" w:eastAsia="仿宋_GB2312"/>
          <w:sz w:val="32"/>
          <w:szCs w:val="32"/>
        </w:rPr>
        <w:t>主要用于保障机关各部门运行等所需的公务用车燃料费、维修费、过路过桥费、保险费等支出。</w:t>
      </w:r>
    </w:p>
    <w:p w14:paraId="383E0D1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p>
    <w:p w14:paraId="2227F6C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37E221A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66" w:name="_Toc15377218"/>
      <w:bookmarkStart w:id="67" w:name="_Toc15396610"/>
    </w:p>
    <w:p w14:paraId="27343AE5">
      <w:pPr>
        <w:spacing w:line="600" w:lineRule="exact"/>
        <w:ind w:firstLine="640" w:firstLineChars="0"/>
        <w:outlineLvl w:val="1"/>
        <w:rPr>
          <w:rStyle w:val="29"/>
          <w:rFonts w:ascii="Times New Roman" w:hAnsi="Times New Roman" w:eastAsia="黑体"/>
          <w:color w:val="auto"/>
          <w:highlight w:val="none"/>
        </w:rPr>
      </w:pPr>
      <w:bookmarkStart w:id="68" w:name="_Toc31142"/>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66"/>
      <w:bookmarkEnd w:id="67"/>
      <w:bookmarkEnd w:id="68"/>
    </w:p>
    <w:p w14:paraId="4535D6E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21.61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0.21</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79.05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78.53</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减少了</w:t>
      </w:r>
      <w:r>
        <w:rPr>
          <w:rFonts w:hint="eastAsia" w:ascii="仿宋_GB2312" w:eastAsia="仿宋_GB2312"/>
          <w:sz w:val="32"/>
          <w:szCs w:val="32"/>
        </w:rPr>
        <w:t>拆迁安置补偿资金</w:t>
      </w:r>
      <w:r>
        <w:rPr>
          <w:rFonts w:hint="eastAsia" w:ascii="仿宋_GB2312" w:eastAsia="仿宋_GB2312"/>
          <w:sz w:val="32"/>
          <w:szCs w:val="32"/>
          <w:lang w:eastAsia="zh-CN"/>
        </w:rPr>
        <w:t>支出。</w:t>
      </w:r>
    </w:p>
    <w:p w14:paraId="19F11561">
      <w:pPr>
        <w:numPr>
          <w:ilvl w:val="0"/>
          <w:numId w:val="0"/>
        </w:numPr>
        <w:spacing w:line="600" w:lineRule="exact"/>
        <w:ind w:left="630" w:leftChars="0" w:firstLine="0" w:firstLineChars="0"/>
        <w:outlineLvl w:val="1"/>
        <w:rPr>
          <w:rStyle w:val="29"/>
          <w:rFonts w:ascii="Times New Roman" w:hAnsi="Times New Roman" w:eastAsia="黑体"/>
          <w:b w:val="0"/>
          <w:color w:val="auto"/>
          <w:highlight w:val="none"/>
        </w:rPr>
      </w:pPr>
      <w:bookmarkStart w:id="69" w:name="_Toc15377219"/>
      <w:bookmarkStart w:id="70" w:name="_Toc15396611"/>
      <w:bookmarkStart w:id="71" w:name="_Toc8436"/>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69"/>
      <w:bookmarkEnd w:id="70"/>
      <w:bookmarkEnd w:id="71"/>
    </w:p>
    <w:p w14:paraId="20BFF8E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。与2023年度相比，国有资本经营预算财政拨款支出减少</w:t>
      </w:r>
      <w:r>
        <w:rPr>
          <w:rFonts w:hint="eastAsia" w:eastAsia="仿宋_GB2312" w:cs="仿宋_GB2312"/>
          <w:color w:val="auto"/>
          <w:kern w:val="2"/>
          <w:sz w:val="32"/>
          <w:szCs w:val="32"/>
          <w:highlight w:val="none"/>
          <w:lang w:val="en-US" w:eastAsia="zh-CN" w:bidi="ar-SA"/>
        </w:rPr>
        <w:t>90.91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减少了</w:t>
      </w:r>
      <w:r>
        <w:rPr>
          <w:rFonts w:hint="eastAsia" w:ascii="仿宋_GB2312" w:eastAsia="仿宋_GB2312"/>
          <w:sz w:val="32"/>
          <w:szCs w:val="32"/>
        </w:rPr>
        <w:t>国有企业退休人员社会化管理补助</w:t>
      </w:r>
      <w:r>
        <w:rPr>
          <w:rFonts w:hint="eastAsia" w:ascii="仿宋_GB2312" w:eastAsia="仿宋_GB2312"/>
          <w:sz w:val="32"/>
          <w:szCs w:val="32"/>
          <w:lang w:eastAsia="zh-CN"/>
        </w:rPr>
        <w:t>支出。</w:t>
      </w:r>
    </w:p>
    <w:p w14:paraId="367D46E1">
      <w:pPr>
        <w:numPr>
          <w:ilvl w:val="0"/>
          <w:numId w:val="0"/>
        </w:numPr>
        <w:spacing w:line="600" w:lineRule="exact"/>
        <w:ind w:left="630" w:leftChars="0" w:firstLine="0" w:firstLineChars="0"/>
        <w:outlineLvl w:val="1"/>
        <w:rPr>
          <w:rStyle w:val="29"/>
          <w:rFonts w:hint="eastAsia" w:ascii="Times New Roman" w:hAnsi="Times New Roman" w:eastAsia="黑体"/>
          <w:b w:val="0"/>
          <w:color w:val="auto"/>
          <w:highlight w:val="none"/>
        </w:rPr>
      </w:pPr>
      <w:bookmarkStart w:id="72" w:name="_Toc15396612"/>
      <w:bookmarkStart w:id="73" w:name="_Toc15377221"/>
      <w:bookmarkStart w:id="74" w:name="_Toc26838"/>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72"/>
      <w:bookmarkEnd w:id="73"/>
      <w:bookmarkEnd w:id="74"/>
    </w:p>
    <w:p w14:paraId="0EE23F3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5" w:name="_Toc15377222"/>
      <w:bookmarkStart w:id="76" w:name="_Toc26748"/>
      <w:r>
        <w:rPr>
          <w:rFonts w:hint="eastAsia" w:ascii="Times New Roman" w:hAnsi="Times New Roman" w:eastAsia="楷体_GB2312" w:cs="楷体_GB2312"/>
          <w:b/>
          <w:color w:val="auto"/>
          <w:sz w:val="32"/>
          <w:szCs w:val="32"/>
          <w:highlight w:val="none"/>
        </w:rPr>
        <w:t>（一）机关运行经费支出情况</w:t>
      </w:r>
      <w:bookmarkEnd w:id="75"/>
      <w:bookmarkEnd w:id="76"/>
    </w:p>
    <w:p w14:paraId="4BBEF6D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四川省攀枝花市仁和区金江镇人民政府</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92.88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w:t>
      </w:r>
      <w:r>
        <w:rPr>
          <w:rFonts w:hint="eastAsia" w:eastAsia="仿宋_GB2312" w:cs="仿宋_GB2312"/>
          <w:color w:val="auto"/>
          <w:kern w:val="2"/>
          <w:sz w:val="32"/>
          <w:szCs w:val="32"/>
          <w:highlight w:val="none"/>
          <w:lang w:val="en-US" w:eastAsia="zh-CN" w:bidi="ar-SA"/>
        </w:rPr>
        <w:t>增加5.94</w:t>
      </w:r>
      <w:r>
        <w:rPr>
          <w:rFonts w:hint="eastAsia" w:ascii="Times New Roman" w:hAnsi="Times New Roman" w:eastAsia="仿宋_GB2312" w:cs="仿宋_GB2312"/>
          <w:color w:val="auto"/>
          <w:kern w:val="2"/>
          <w:sz w:val="32"/>
          <w:szCs w:val="32"/>
          <w:highlight w:val="none"/>
          <w:lang w:val="en-US" w:eastAsia="zh-CN" w:bidi="ar-SA"/>
        </w:rPr>
        <w:t>万元，增</w:t>
      </w:r>
      <w:r>
        <w:rPr>
          <w:rFonts w:hint="eastAsia" w:eastAsia="仿宋_GB2312" w:cs="仿宋_GB2312"/>
          <w:color w:val="auto"/>
          <w:kern w:val="2"/>
          <w:sz w:val="32"/>
          <w:szCs w:val="32"/>
          <w:highlight w:val="none"/>
          <w:lang w:val="en-US" w:eastAsia="zh-CN" w:bidi="ar-SA"/>
        </w:rPr>
        <w:t>增加6.8</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人员增加，按人头测算的公用经费有所增加。</w:t>
      </w:r>
    </w:p>
    <w:p w14:paraId="3F08A4B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7" w:name="_Toc15377223"/>
      <w:bookmarkStart w:id="78" w:name="_Toc29081"/>
      <w:r>
        <w:rPr>
          <w:rFonts w:hint="eastAsia" w:ascii="Times New Roman" w:hAnsi="Times New Roman" w:eastAsia="楷体_GB2312" w:cs="楷体_GB2312"/>
          <w:b/>
          <w:color w:val="auto"/>
          <w:sz w:val="32"/>
          <w:szCs w:val="32"/>
          <w:highlight w:val="none"/>
        </w:rPr>
        <w:t>（二）政府采购支出情况</w:t>
      </w:r>
      <w:bookmarkEnd w:id="77"/>
      <w:bookmarkEnd w:id="78"/>
    </w:p>
    <w:p w14:paraId="18E6DE8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四川省攀枝花市仁和区金江镇人民政府</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15444AE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9" w:name="_Toc15377224"/>
      <w:bookmarkStart w:id="80" w:name="_Toc21571"/>
      <w:r>
        <w:rPr>
          <w:rFonts w:hint="eastAsia" w:ascii="Times New Roman" w:hAnsi="Times New Roman" w:eastAsia="楷体_GB2312" w:cs="楷体_GB2312"/>
          <w:b/>
          <w:color w:val="auto"/>
          <w:sz w:val="32"/>
          <w:szCs w:val="32"/>
          <w:highlight w:val="none"/>
        </w:rPr>
        <w:t>（三）国有资产占有使用情况</w:t>
      </w:r>
      <w:bookmarkEnd w:id="79"/>
      <w:bookmarkEnd w:id="80"/>
    </w:p>
    <w:p w14:paraId="38714AC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四川省攀枝花市仁和区金江镇人民政府</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kern w:val="2"/>
          <w:sz w:val="32"/>
          <w:szCs w:val="32"/>
          <w:highlight w:val="none"/>
          <w:lang w:val="en-US" w:eastAsia="zh-CN" w:bidi="ar-SA"/>
        </w:rPr>
        <w:t>辆，其他用车主要是用于</w:t>
      </w:r>
      <w:r>
        <w:rPr>
          <w:rFonts w:hint="eastAsia" w:ascii="仿宋_GB2312" w:eastAsia="仿宋_GB2312"/>
          <w:sz w:val="32"/>
          <w:szCs w:val="32"/>
        </w:rPr>
        <w:t>保障各部门用车</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575C5C8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81" w:name="_Toc12212"/>
      <w:r>
        <w:rPr>
          <w:rFonts w:hint="eastAsia" w:ascii="Times New Roman" w:hAnsi="Times New Roman" w:eastAsia="楷体_GB2312" w:cs="楷体_GB2312"/>
          <w:b/>
          <w:color w:val="auto"/>
          <w:sz w:val="32"/>
          <w:szCs w:val="32"/>
          <w:highlight w:val="none"/>
        </w:rPr>
        <w:t>（四）预算绩效管理情况</w:t>
      </w:r>
      <w:bookmarkEnd w:id="81"/>
    </w:p>
    <w:p w14:paraId="1B73796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ascii="仿宋_GB2312" w:hAnsi="Times New Roman" w:eastAsia="仿宋_GB2312"/>
          <w:sz w:val="32"/>
          <w:szCs w:val="32"/>
        </w:rPr>
        <w:t>征地拆迁安置农民生活费、租房费</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52个</w:t>
      </w:r>
      <w:r>
        <w:rPr>
          <w:rFonts w:hint="eastAsia" w:ascii="Times New Roman" w:hAnsi="Times New Roman" w:eastAsia="仿宋_GB2312" w:cs="仿宋_GB2312"/>
          <w:color w:val="auto"/>
          <w:kern w:val="2"/>
          <w:sz w:val="32"/>
          <w:szCs w:val="32"/>
          <w:highlight w:val="none"/>
          <w:lang w:val="en-US" w:eastAsia="zh-CN" w:bidi="ar-SA"/>
        </w:rPr>
        <w:t>项目开展了预算事前绩效评估，对</w:t>
      </w:r>
      <w:r>
        <w:rPr>
          <w:rFonts w:hint="eastAsia" w:eastAsia="仿宋_GB2312" w:cs="仿宋_GB2312"/>
          <w:color w:val="auto"/>
          <w:kern w:val="2"/>
          <w:sz w:val="32"/>
          <w:szCs w:val="32"/>
          <w:highlight w:val="none"/>
          <w:lang w:val="en-US" w:eastAsia="zh-CN" w:bidi="ar-SA"/>
        </w:rPr>
        <w:t>52</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52</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6043E3D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金江镇2024年</w:t>
      </w:r>
      <w:r>
        <w:rPr>
          <w:rFonts w:hint="eastAsia" w:ascii="Times New Roman" w:hAnsi="Times New Roman" w:eastAsia="仿宋_GB2312" w:cs="仿宋_GB2312"/>
          <w:color w:val="auto"/>
          <w:kern w:val="2"/>
          <w:sz w:val="32"/>
          <w:szCs w:val="32"/>
          <w:highlight w:val="none"/>
          <w:lang w:val="en-US" w:eastAsia="zh-CN" w:bidi="ar-SA"/>
        </w:rPr>
        <w:t>部门预算绩效评价报告</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报告详见附件</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p>
    <w:p w14:paraId="42E0DEB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831ACEC">
      <w:pPr>
        <w:tabs>
          <w:tab w:val="left" w:pos="6381"/>
        </w:tabs>
        <w:bidi w:val="0"/>
        <w:jc w:val="left"/>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ab/>
      </w:r>
      <w:bookmarkStart w:id="133" w:name="_GoBack"/>
      <w:bookmarkEnd w:id="133"/>
    </w:p>
    <w:p w14:paraId="668717FA">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82" w:name="_Toc15377225"/>
      <w:bookmarkStart w:id="83" w:name="_Toc15396613"/>
      <w:bookmarkStart w:id="84" w:name="_Toc23239"/>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82"/>
      <w:bookmarkEnd w:id="83"/>
      <w:bookmarkEnd w:id="84"/>
    </w:p>
    <w:p w14:paraId="7B30AEBE">
      <w:pPr>
        <w:spacing w:line="600" w:lineRule="exact"/>
        <w:jc w:val="left"/>
        <w:rPr>
          <w:rFonts w:ascii="Times New Roman" w:hAnsi="Times New Roman"/>
          <w:b/>
          <w:color w:val="auto"/>
          <w:sz w:val="44"/>
          <w:szCs w:val="44"/>
          <w:highlight w:val="none"/>
        </w:rPr>
      </w:pPr>
    </w:p>
    <w:p w14:paraId="04BDBA99">
      <w:pPr>
        <w:pStyle w:val="26"/>
        <w:spacing w:line="560" w:lineRule="exact"/>
        <w:ind w:firstLine="640" w:firstLineChars="200"/>
        <w:outlineLvl w:val="1"/>
        <w:rPr>
          <w:rFonts w:ascii="仿宋_GB2312" w:eastAsia="仿宋_GB2312"/>
          <w:color w:val="auto"/>
          <w:sz w:val="32"/>
          <w:szCs w:val="32"/>
        </w:rPr>
      </w:pPr>
      <w:bookmarkStart w:id="85" w:name="_Toc30251"/>
      <w:bookmarkStart w:id="86" w:name="_Toc14053"/>
      <w:bookmarkStart w:id="87" w:name="_Toc2637"/>
      <w:bookmarkStart w:id="88"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bookmarkEnd w:id="85"/>
      <w:bookmarkEnd w:id="86"/>
      <w:bookmarkEnd w:id="87"/>
    </w:p>
    <w:p w14:paraId="0B9C5813">
      <w:pPr>
        <w:pStyle w:val="26"/>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5A47C10E">
      <w:pPr>
        <w:pStyle w:val="26"/>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79A10161">
      <w:pPr>
        <w:pStyle w:val="26"/>
        <w:spacing w:line="560" w:lineRule="exact"/>
        <w:ind w:firstLine="640" w:firstLineChars="200"/>
        <w:outlineLvl w:val="1"/>
        <w:rPr>
          <w:rFonts w:ascii="仿宋_GB2312" w:eastAsia="仿宋_GB2312"/>
          <w:color w:val="auto"/>
          <w:sz w:val="32"/>
          <w:szCs w:val="32"/>
        </w:rPr>
      </w:pPr>
      <w:bookmarkStart w:id="89" w:name="_Toc13429"/>
      <w:bookmarkStart w:id="90" w:name="_Toc5125"/>
      <w:bookmarkStart w:id="91" w:name="_Toc28332"/>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bookmarkEnd w:id="89"/>
      <w:bookmarkEnd w:id="90"/>
      <w:bookmarkEnd w:id="91"/>
      <w:r>
        <w:rPr>
          <w:rFonts w:ascii="仿宋_GB2312" w:eastAsia="仿宋_GB2312"/>
          <w:color w:val="auto"/>
          <w:sz w:val="32"/>
          <w:szCs w:val="32"/>
        </w:rPr>
        <w:t xml:space="preserve"> </w:t>
      </w:r>
    </w:p>
    <w:p w14:paraId="6F9B0EA5">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14:paraId="59098E67">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40EBF474">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36E023CE">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666C06BA">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一般公共服务（类）政府办公厅（室）及相关机构事务（款）行政运行（项）：指行政单位（包括实行公务员管理的事业单位）的基本支出。</w:t>
      </w:r>
    </w:p>
    <w:p w14:paraId="7B6889DF">
      <w:pPr>
        <w:ind w:firstLine="640" w:firstLineChars="200"/>
        <w:rPr>
          <w:rFonts w:ascii="仿宋_GB2312" w:eastAsia="仿宋_GB2312"/>
          <w:sz w:val="32"/>
          <w:szCs w:val="32"/>
        </w:rPr>
      </w:pPr>
      <w:r>
        <w:rPr>
          <w:rFonts w:hint="eastAsia" w:ascii="仿宋_GB2312" w:eastAsia="仿宋_GB2312"/>
          <w:sz w:val="32"/>
          <w:szCs w:val="32"/>
        </w:rPr>
        <w:t>10</w:t>
      </w:r>
      <w:r>
        <w:rPr>
          <w:rFonts w:ascii="仿宋_GB2312" w:eastAsia="仿宋_GB2312"/>
          <w:sz w:val="32"/>
          <w:szCs w:val="32"/>
        </w:rPr>
        <w:t>.</w:t>
      </w:r>
      <w:r>
        <w:rPr>
          <w:rFonts w:hint="eastAsia" w:ascii="仿宋_GB2312" w:eastAsia="仿宋_GB2312"/>
          <w:sz w:val="32"/>
          <w:szCs w:val="32"/>
        </w:rPr>
        <w:t>一般公共服务（类）政府办公厅（室）及相关机构事务（款）事业运行（项）：指事业单位的基本支出，不包括行政单位（包括实行公务员管理的事业单位）后勤服务中心，医务室等附属事业单位。</w:t>
      </w:r>
    </w:p>
    <w:p w14:paraId="32CB8804">
      <w:pPr>
        <w:ind w:firstLine="640" w:firstLineChars="200"/>
        <w:rPr>
          <w:rFonts w:hint="eastAsia" w:ascii="仿宋_GB2312" w:eastAsia="仿宋_GB2312"/>
          <w:sz w:val="32"/>
          <w:szCs w:val="32"/>
        </w:rPr>
      </w:pPr>
      <w:r>
        <w:rPr>
          <w:rFonts w:hint="eastAsia" w:ascii="仿宋_GB2312" w:eastAsia="仿宋_GB2312"/>
          <w:sz w:val="32"/>
          <w:szCs w:val="32"/>
        </w:rPr>
        <w:t>11</w:t>
      </w:r>
      <w:r>
        <w:rPr>
          <w:rFonts w:ascii="仿宋_GB2312" w:eastAsia="仿宋_GB2312"/>
          <w:sz w:val="32"/>
          <w:szCs w:val="32"/>
        </w:rPr>
        <w:t>.</w:t>
      </w:r>
      <w:r>
        <w:rPr>
          <w:rFonts w:hint="eastAsia" w:ascii="仿宋_GB2312" w:eastAsia="仿宋_GB2312"/>
          <w:sz w:val="32"/>
          <w:szCs w:val="32"/>
        </w:rPr>
        <w:t>一般公共服务（类）政府办公厅（室）及相关机构事务（款）其他政府办公厅（室）及相关机构事务支出（项）：指其他政府办公厅（室）及相关机构事务支出。</w:t>
      </w:r>
    </w:p>
    <w:p w14:paraId="2D4F9CC3">
      <w:pPr>
        <w:ind w:firstLine="640" w:firstLineChars="200"/>
        <w:rPr>
          <w:rFonts w:hint="eastAsia" w:ascii="仿宋_GB2312" w:eastAsia="仿宋_GB2312"/>
          <w:sz w:val="32"/>
          <w:szCs w:val="32"/>
        </w:rPr>
      </w:pPr>
      <w:r>
        <w:rPr>
          <w:rFonts w:hint="eastAsia" w:ascii="仿宋_GB2312" w:eastAsia="仿宋_GB2312"/>
          <w:sz w:val="32"/>
          <w:szCs w:val="32"/>
        </w:rPr>
        <w:t>12.一般公共服务（类）其他一般公共服务支出（款）其他一般公共服务支出（项）：指一般公共服务支出以外的其他一般公共服务支出。</w:t>
      </w:r>
    </w:p>
    <w:p w14:paraId="12A9CCCD">
      <w:pPr>
        <w:ind w:firstLine="640" w:firstLineChars="200"/>
        <w:rPr>
          <w:rFonts w:hint="eastAsia" w:ascii="仿宋_GB2312" w:eastAsia="仿宋_GB2312"/>
          <w:sz w:val="32"/>
          <w:szCs w:val="32"/>
        </w:rPr>
      </w:pPr>
      <w:r>
        <w:rPr>
          <w:rFonts w:hint="eastAsia" w:ascii="仿宋_GB2312" w:eastAsia="仿宋_GB2312"/>
          <w:sz w:val="32"/>
          <w:szCs w:val="32"/>
        </w:rPr>
        <w:t>13.公共安全支出（类）其他公共安全支出（款）其他公共安全支出（项）:指其他用于公共安全方面的支出。</w:t>
      </w:r>
    </w:p>
    <w:p w14:paraId="4B72FE04">
      <w:pPr>
        <w:ind w:firstLine="640" w:firstLineChars="200"/>
        <w:rPr>
          <w:rFonts w:hint="eastAsia" w:ascii="仿宋_GB2312" w:eastAsia="仿宋_GB2312" w:cs="仿宋"/>
          <w:kern w:val="0"/>
          <w:sz w:val="32"/>
          <w:szCs w:val="32"/>
        </w:rPr>
      </w:pPr>
      <w:r>
        <w:rPr>
          <w:rFonts w:hint="eastAsia" w:ascii="仿宋_GB2312" w:eastAsia="仿宋_GB2312" w:cs="仿宋"/>
          <w:kern w:val="0"/>
          <w:sz w:val="32"/>
          <w:szCs w:val="32"/>
        </w:rPr>
        <w:t>14.文化旅游体育与传媒支出（类）文化和旅游（款）其他文化和旅游支出（项）:指其他用于文化和旅游方面的支出。</w:t>
      </w:r>
    </w:p>
    <w:p w14:paraId="77709EA0">
      <w:pPr>
        <w:ind w:firstLine="640" w:firstLineChars="200"/>
        <w:rPr>
          <w:rFonts w:hint="eastAsia" w:ascii="仿宋_GB2312" w:eastAsia="仿宋_GB2312" w:cs="仿宋"/>
          <w:kern w:val="0"/>
          <w:sz w:val="32"/>
          <w:szCs w:val="32"/>
        </w:rPr>
      </w:pPr>
      <w:r>
        <w:rPr>
          <w:rFonts w:hint="eastAsia" w:ascii="仿宋_GB2312" w:eastAsia="仿宋_GB2312" w:cs="仿宋"/>
          <w:kern w:val="0"/>
          <w:sz w:val="32"/>
          <w:szCs w:val="32"/>
        </w:rPr>
        <w:t>15.社会保障和就业（类）民政事务管理（款）其他民政事务管理支出（项）:指其他用于民政管理事务的支出。</w:t>
      </w:r>
    </w:p>
    <w:p w14:paraId="50F81A85">
      <w:pPr>
        <w:ind w:firstLine="640" w:firstLineChars="200"/>
        <w:rPr>
          <w:rFonts w:hint="eastAsia" w:ascii="仿宋_GB2312" w:eastAsia="仿宋_GB2312" w:cs="仿宋"/>
          <w:kern w:val="0"/>
          <w:sz w:val="32"/>
          <w:szCs w:val="32"/>
        </w:rPr>
      </w:pPr>
      <w:r>
        <w:rPr>
          <w:rFonts w:hint="eastAsia" w:ascii="仿宋_GB2312" w:eastAsia="仿宋_GB2312" w:cs="仿宋"/>
          <w:kern w:val="0"/>
          <w:sz w:val="32"/>
          <w:szCs w:val="32"/>
        </w:rPr>
        <w:t>16.社会保障和就业（类）行政事业单位养老支出（款） 行政单位离退休（项）: 指行政单位（包括实行公务员管理的事业单位）开支的离退休经费。</w:t>
      </w:r>
    </w:p>
    <w:p w14:paraId="1BBD2C3F">
      <w:pPr>
        <w:ind w:firstLine="640" w:firstLineChars="200"/>
        <w:rPr>
          <w:rFonts w:hint="eastAsia" w:ascii="仿宋_GB2312" w:eastAsia="仿宋_GB2312" w:cs="仿宋"/>
          <w:kern w:val="0"/>
          <w:sz w:val="32"/>
          <w:szCs w:val="32"/>
        </w:rPr>
      </w:pPr>
      <w:r>
        <w:rPr>
          <w:rFonts w:hint="eastAsia" w:ascii="仿宋_GB2312" w:eastAsia="仿宋_GB2312" w:cs="仿宋"/>
          <w:kern w:val="0"/>
          <w:sz w:val="32"/>
          <w:szCs w:val="32"/>
        </w:rPr>
        <w:t>17.社会保障和就业（类）行政事业单位养老支出（款） 机关事业单位基本养老保险缴费支出（项）:指机关事业单位实施养老保险制度由单位缴纳的基本养老保险费支出。</w:t>
      </w:r>
    </w:p>
    <w:p w14:paraId="1EBFAC10">
      <w:pPr>
        <w:ind w:firstLine="640" w:firstLineChars="200"/>
        <w:rPr>
          <w:rFonts w:hint="eastAsia" w:ascii="仿宋_GB2312" w:eastAsia="仿宋_GB2312" w:cs="仿宋"/>
          <w:kern w:val="0"/>
          <w:sz w:val="32"/>
          <w:szCs w:val="32"/>
        </w:rPr>
      </w:pPr>
      <w:r>
        <w:rPr>
          <w:rFonts w:hint="eastAsia" w:ascii="仿宋_GB2312" w:eastAsia="仿宋_GB2312" w:cs="仿宋"/>
          <w:kern w:val="0"/>
          <w:sz w:val="32"/>
          <w:szCs w:val="32"/>
        </w:rPr>
        <w:t>18.社会保障和就业（类）抚恤（款）死亡抚恤（项）:指按规定用于烈士和牺牲、病故人员家属的一次性和定期抚恤金以及丧葬补助费。</w:t>
      </w:r>
    </w:p>
    <w:p w14:paraId="5CB5757C">
      <w:pPr>
        <w:ind w:firstLine="640" w:firstLineChars="200"/>
        <w:rPr>
          <w:rFonts w:hint="eastAsia" w:ascii="仿宋_GB2312" w:eastAsia="仿宋_GB2312" w:cs="仿宋"/>
          <w:kern w:val="0"/>
          <w:sz w:val="32"/>
          <w:szCs w:val="32"/>
        </w:rPr>
      </w:pPr>
      <w:r>
        <w:rPr>
          <w:rFonts w:hint="eastAsia" w:ascii="仿宋_GB2312" w:eastAsia="仿宋_GB2312" w:cs="仿宋"/>
          <w:kern w:val="0"/>
          <w:sz w:val="32"/>
          <w:szCs w:val="32"/>
        </w:rPr>
        <w:t>19.社会保障和就业（类）其他社会保障和就业支出（款）其他社会保障和就业支出（项）:指其他用于社会保障和就业方面的支出。</w:t>
      </w:r>
    </w:p>
    <w:p w14:paraId="35D70A8F">
      <w:pPr>
        <w:ind w:firstLine="640" w:firstLineChars="200"/>
        <w:rPr>
          <w:rFonts w:hint="eastAsia" w:ascii="仿宋_GB2312" w:eastAsia="仿宋_GB2312" w:cs="仿宋"/>
          <w:kern w:val="0"/>
          <w:sz w:val="32"/>
          <w:szCs w:val="32"/>
        </w:rPr>
      </w:pPr>
      <w:r>
        <w:rPr>
          <w:rFonts w:hint="eastAsia" w:ascii="仿宋_GB2312" w:eastAsia="仿宋_GB2312" w:cs="仿宋"/>
          <w:kern w:val="0"/>
          <w:sz w:val="32"/>
          <w:szCs w:val="32"/>
        </w:rPr>
        <w:t>20.城乡社区（类）城乡社区管理服务（款）其他城乡社区管理事务支出（项）:指其他用于城乡社区管理事务方面的支出。</w:t>
      </w:r>
    </w:p>
    <w:p w14:paraId="58995FAD">
      <w:pPr>
        <w:ind w:firstLine="640" w:firstLineChars="200"/>
        <w:rPr>
          <w:rFonts w:hint="eastAsia" w:ascii="仿宋_GB2312" w:eastAsia="仿宋_GB2312" w:cs="仿宋"/>
          <w:kern w:val="0"/>
          <w:sz w:val="32"/>
          <w:szCs w:val="32"/>
        </w:rPr>
      </w:pPr>
      <w:r>
        <w:rPr>
          <w:rFonts w:hint="eastAsia" w:ascii="仿宋_GB2312" w:eastAsia="仿宋_GB2312" w:cs="仿宋"/>
          <w:kern w:val="0"/>
          <w:sz w:val="32"/>
          <w:szCs w:val="32"/>
        </w:rPr>
        <w:t>21.农林水（类）农业农村（款）其他农业农村支出（项）:指其他用于农业农村方面的支出。</w:t>
      </w:r>
    </w:p>
    <w:p w14:paraId="6B774CA6">
      <w:pPr>
        <w:ind w:firstLine="640" w:firstLineChars="200"/>
        <w:rPr>
          <w:rFonts w:hint="eastAsia" w:ascii="仿宋_GB2312" w:eastAsia="仿宋_GB2312" w:cs="仿宋"/>
          <w:kern w:val="0"/>
          <w:sz w:val="32"/>
          <w:szCs w:val="32"/>
        </w:rPr>
      </w:pPr>
      <w:r>
        <w:rPr>
          <w:rFonts w:hint="eastAsia" w:ascii="仿宋_GB2312" w:eastAsia="仿宋_GB2312" w:cs="仿宋"/>
          <w:kern w:val="0"/>
          <w:sz w:val="32"/>
          <w:szCs w:val="32"/>
        </w:rPr>
        <w:t>22.农林水（类）林业和草原（款） 森林资源培育（项）:指育苗（种）、造林、抚育、退化林修复、义务植树以及生物质能源建设等方面的支出。</w:t>
      </w:r>
    </w:p>
    <w:p w14:paraId="7CC05934">
      <w:pPr>
        <w:spacing w:line="600" w:lineRule="exact"/>
        <w:ind w:firstLine="640" w:firstLineChars="200"/>
        <w:outlineLvl w:val="1"/>
        <w:rPr>
          <w:rFonts w:hint="eastAsia" w:ascii="仿宋_GB2312" w:eastAsia="仿宋_GB2312" w:cs="仿宋"/>
          <w:kern w:val="0"/>
          <w:sz w:val="32"/>
          <w:szCs w:val="32"/>
        </w:rPr>
      </w:pPr>
      <w:bookmarkStart w:id="92" w:name="_Toc11519"/>
      <w:bookmarkStart w:id="93" w:name="_Toc3208"/>
      <w:bookmarkStart w:id="94" w:name="_Toc6442"/>
      <w:r>
        <w:rPr>
          <w:rFonts w:hint="eastAsia" w:ascii="仿宋_GB2312" w:eastAsia="仿宋_GB2312" w:cs="仿宋"/>
          <w:kern w:val="0"/>
          <w:sz w:val="32"/>
          <w:szCs w:val="32"/>
        </w:rPr>
        <w:t>23.农林水（类）林业和草原（款） 林业草原防灾减灾</w:t>
      </w:r>
      <w:bookmarkEnd w:id="92"/>
      <w:bookmarkEnd w:id="93"/>
      <w:bookmarkEnd w:id="94"/>
    </w:p>
    <w:p w14:paraId="14925C80">
      <w:pPr>
        <w:rPr>
          <w:rFonts w:hint="eastAsia" w:ascii="仿宋_GB2312" w:eastAsia="仿宋_GB2312" w:cs="仿宋"/>
          <w:kern w:val="0"/>
          <w:sz w:val="32"/>
          <w:szCs w:val="32"/>
        </w:rPr>
      </w:pPr>
      <w:r>
        <w:rPr>
          <w:rFonts w:hint="eastAsia" w:ascii="仿宋_GB2312" w:eastAsia="仿宋_GB2312" w:cs="仿宋"/>
          <w:kern w:val="0"/>
          <w:sz w:val="32"/>
          <w:szCs w:val="32"/>
        </w:rPr>
        <w:t>（项）：指用于病虫害等有害生物灾害、森林草原防火、野生动物疫病灾害等方面的支出。</w:t>
      </w:r>
    </w:p>
    <w:p w14:paraId="7F2F4953">
      <w:pPr>
        <w:ind w:firstLine="640" w:firstLineChars="200"/>
        <w:rPr>
          <w:rFonts w:hint="eastAsia" w:ascii="仿宋_GB2312" w:eastAsia="仿宋_GB2312" w:cs="仿宋"/>
          <w:kern w:val="0"/>
          <w:sz w:val="32"/>
          <w:szCs w:val="32"/>
        </w:rPr>
      </w:pPr>
      <w:r>
        <w:rPr>
          <w:rFonts w:hint="eastAsia" w:ascii="仿宋_GB2312" w:eastAsia="仿宋_GB2312" w:cs="仿宋"/>
          <w:kern w:val="0"/>
          <w:sz w:val="32"/>
          <w:szCs w:val="32"/>
        </w:rPr>
        <w:t>24.农林水（类）水利（款） 其他水利支出（项）:指其他用于水利方面的支出。</w:t>
      </w:r>
    </w:p>
    <w:p w14:paraId="12A462EA">
      <w:pPr>
        <w:ind w:firstLine="640" w:firstLineChars="200"/>
        <w:rPr>
          <w:rFonts w:hint="eastAsia" w:ascii="仿宋_GB2312" w:eastAsia="仿宋_GB2312" w:cs="仿宋"/>
          <w:kern w:val="0"/>
          <w:sz w:val="32"/>
          <w:szCs w:val="32"/>
        </w:rPr>
      </w:pPr>
      <w:r>
        <w:rPr>
          <w:rFonts w:hint="eastAsia" w:ascii="仿宋_GB2312" w:eastAsia="仿宋_GB2312" w:cs="仿宋"/>
          <w:kern w:val="0"/>
          <w:sz w:val="32"/>
          <w:szCs w:val="32"/>
        </w:rPr>
        <w:t>25.农林水（类）农村综合改革（款） 对村民委员会和村党支部的补助（项）:指各级财政对村民委员会和村党支部的补助支出，以及支持建立县级基本财力保障机制安排的村级组织运转奖补资金。</w:t>
      </w:r>
    </w:p>
    <w:p w14:paraId="335EF9EC">
      <w:pPr>
        <w:ind w:firstLine="640" w:firstLineChars="200"/>
        <w:rPr>
          <w:rFonts w:hint="eastAsia" w:ascii="仿宋_GB2312" w:eastAsia="仿宋_GB2312" w:cs="仿宋"/>
          <w:kern w:val="0"/>
          <w:sz w:val="32"/>
          <w:szCs w:val="32"/>
        </w:rPr>
      </w:pPr>
      <w:r>
        <w:rPr>
          <w:rFonts w:hint="eastAsia" w:ascii="仿宋_GB2312" w:eastAsia="仿宋_GB2312" w:cs="仿宋"/>
          <w:kern w:val="0"/>
          <w:sz w:val="32"/>
          <w:szCs w:val="32"/>
        </w:rPr>
        <w:t>26.住房保障支出（类）住房改革支出（款）住房公积金（项）:指行政事业单位按人力资源和社会保障部、财政部规定的基本工资和津贴补贴以及规定比例为职工缴纳的住房公积金。</w:t>
      </w:r>
    </w:p>
    <w:p w14:paraId="7ACEFAFD">
      <w:pPr>
        <w:ind w:firstLine="640" w:firstLineChars="200"/>
        <w:rPr>
          <w:rFonts w:hint="eastAsia" w:ascii="仿宋_GB2312" w:eastAsia="仿宋_GB2312" w:cs="仿宋"/>
          <w:kern w:val="0"/>
          <w:sz w:val="32"/>
          <w:szCs w:val="32"/>
        </w:rPr>
      </w:pPr>
      <w:r>
        <w:rPr>
          <w:rFonts w:hint="eastAsia" w:ascii="仿宋_GB2312" w:eastAsia="仿宋_GB2312" w:cs="仿宋"/>
          <w:kern w:val="0"/>
          <w:sz w:val="32"/>
          <w:szCs w:val="32"/>
        </w:rPr>
        <w:t>27.灾害防治及应急管理支出（类）森林消防事务（款）其他森林消防事务支出（项）:指其他用于森林消防方面的支出。</w:t>
      </w:r>
    </w:p>
    <w:p w14:paraId="17D3D641">
      <w:pPr>
        <w:pStyle w:val="8"/>
        <w:ind w:firstLine="640" w:firstLineChars="200"/>
        <w:rPr>
          <w:rFonts w:hint="eastAsia" w:ascii="仿宋_GB2312" w:eastAsia="仿宋_GB2312" w:cs="仿宋"/>
          <w:kern w:val="0"/>
          <w:sz w:val="32"/>
          <w:szCs w:val="32"/>
        </w:rPr>
      </w:pPr>
      <w:r>
        <w:rPr>
          <w:rFonts w:hint="eastAsia" w:cs="仿宋"/>
          <w:kern w:val="0"/>
          <w:sz w:val="32"/>
          <w:szCs w:val="32"/>
        </w:rPr>
        <w:t>28</w:t>
      </w:r>
      <w:r>
        <w:rPr>
          <w:rFonts w:hint="eastAsia" w:ascii="仿宋_GB2312" w:eastAsia="仿宋_GB2312" w:cs="仿宋"/>
          <w:kern w:val="0"/>
          <w:sz w:val="32"/>
          <w:szCs w:val="32"/>
        </w:rPr>
        <w:t>.其他支出（类）其他支出（款）其他支出（项）:指其他不能划分到具体功能科目中的支出项目。</w:t>
      </w:r>
    </w:p>
    <w:p w14:paraId="488011F3">
      <w:pPr>
        <w:ind w:firstLine="640" w:firstLineChars="200"/>
        <w:rPr>
          <w:rFonts w:hint="eastAsia" w:ascii="仿宋_GB2312" w:eastAsia="仿宋_GB2312" w:cs="仿宋"/>
          <w:kern w:val="0"/>
          <w:sz w:val="32"/>
          <w:szCs w:val="32"/>
        </w:rPr>
      </w:pPr>
      <w:r>
        <w:rPr>
          <w:rFonts w:hint="eastAsia" w:ascii="仿宋_GB2312" w:eastAsia="仿宋_GB2312" w:cs="仿宋"/>
          <w:kern w:val="0"/>
          <w:sz w:val="32"/>
          <w:szCs w:val="32"/>
        </w:rPr>
        <w:t>29.基本支出：指为保障机构正常运转、完成日常工作任务而发生的人员支出和公用支出。</w:t>
      </w:r>
    </w:p>
    <w:p w14:paraId="318D353D">
      <w:pPr>
        <w:ind w:firstLine="640" w:firstLineChars="200"/>
        <w:rPr>
          <w:rFonts w:hint="eastAsia" w:ascii="仿宋_GB2312" w:eastAsia="仿宋_GB2312" w:cs="仿宋"/>
          <w:kern w:val="0"/>
          <w:sz w:val="32"/>
          <w:szCs w:val="32"/>
        </w:rPr>
      </w:pPr>
      <w:r>
        <w:rPr>
          <w:rFonts w:hint="eastAsia" w:ascii="仿宋_GB2312" w:eastAsia="仿宋_GB2312" w:cs="仿宋"/>
          <w:kern w:val="0"/>
          <w:sz w:val="32"/>
          <w:szCs w:val="32"/>
        </w:rPr>
        <w:t xml:space="preserve">30.项目支出：指在基本支出之外为完成特定行政任务和事业发展目标所发生的支出。 </w:t>
      </w:r>
    </w:p>
    <w:p w14:paraId="05349392">
      <w:pPr>
        <w:ind w:firstLine="640" w:firstLineChars="200"/>
        <w:rPr>
          <w:rFonts w:hint="eastAsia" w:ascii="仿宋_GB2312" w:eastAsia="仿宋_GB2312" w:cs="仿宋"/>
          <w:kern w:val="0"/>
          <w:sz w:val="32"/>
          <w:szCs w:val="32"/>
        </w:rPr>
      </w:pPr>
      <w:r>
        <w:rPr>
          <w:rFonts w:hint="eastAsia" w:ascii="仿宋_GB2312" w:eastAsia="仿宋_GB2312" w:cs="仿宋"/>
          <w:kern w:val="0"/>
          <w:sz w:val="32"/>
          <w:szCs w:val="32"/>
        </w:rPr>
        <w:t>31.经营支出：指事业单位在专业业务活动及其辅助活动之外开展非独立核算经营活动发生的支出。</w:t>
      </w:r>
    </w:p>
    <w:p w14:paraId="4F124982">
      <w:pPr>
        <w:pStyle w:val="26"/>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32.“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E9C141F">
      <w:pPr>
        <w:pStyle w:val="26"/>
        <w:spacing w:line="560" w:lineRule="exact"/>
        <w:ind w:firstLine="640" w:firstLineChars="200"/>
        <w:jc w:val="left"/>
        <w:rPr>
          <w:rStyle w:val="28"/>
          <w:rFonts w:hint="eastAsia" w:ascii="Times New Roman" w:hAnsi="Times New Roman" w:eastAsia="黑体"/>
          <w:b w:val="0"/>
          <w:color w:val="auto"/>
          <w:highlight w:val="none"/>
          <w:lang w:eastAsia="zh-CN"/>
        </w:rPr>
      </w:pPr>
      <w:r>
        <w:rPr>
          <w:rFonts w:hint="eastAsia" w:ascii="仿宋_GB2312" w:eastAsia="仿宋_GB2312"/>
          <w:color w:val="auto"/>
          <w:sz w:val="32"/>
          <w:szCs w:val="32"/>
        </w:rPr>
        <w:t>33</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Times New Roman" w:hAnsi="Times New Roman" w:eastAsia="仿宋_GB2312" w:cs="仿宋_GB2312"/>
          <w:color w:val="auto"/>
          <w:kern w:val="2"/>
          <w:sz w:val="32"/>
          <w:szCs w:val="32"/>
          <w:highlight w:val="none"/>
          <w:lang w:val="en-US" w:eastAsia="zh-CN" w:bidi="ar-SA"/>
        </w:rPr>
        <w:br w:type="page"/>
      </w:r>
      <w:bookmarkStart w:id="95" w:name="_Toc15396614"/>
      <w:r>
        <w:rPr>
          <w:rFonts w:hint="eastAsia" w:ascii="Times New Roman" w:hAnsi="Times New Roman" w:eastAsia="仿宋_GB2312" w:cs="仿宋_GB2312"/>
          <w:color w:val="auto"/>
          <w:kern w:val="2"/>
          <w:sz w:val="32"/>
          <w:szCs w:val="32"/>
          <w:highlight w:val="none"/>
          <w:lang w:val="en-US" w:eastAsia="zh-CN" w:bidi="ar-SA"/>
        </w:rPr>
        <w:t xml:space="preserve">   </w:t>
      </w: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95"/>
    </w:p>
    <w:p w14:paraId="025A8768">
      <w:pPr>
        <w:keepNext w:val="0"/>
        <w:keepLines w:val="0"/>
        <w:pageBreakBefore w:val="0"/>
        <w:kinsoku/>
        <w:wordWrap/>
        <w:overflowPunct/>
        <w:topLinePunct w:val="0"/>
        <w:autoSpaceDE/>
        <w:autoSpaceDN/>
        <w:bidi w:val="0"/>
        <w:spacing w:line="572" w:lineRule="exact"/>
        <w:jc w:val="left"/>
        <w:textAlignment w:val="auto"/>
        <w:outlineLvl w:val="9"/>
        <w:rPr>
          <w:rFonts w:hint="eastAsia" w:ascii="Times New Roman" w:hAnsi="Times New Roman" w:eastAsia="黑体" w:cs="黑体"/>
          <w:color w:val="FF0000"/>
          <w:sz w:val="32"/>
          <w:szCs w:val="32"/>
          <w:highlight w:val="none"/>
        </w:rPr>
      </w:pPr>
    </w:p>
    <w:p w14:paraId="4A253E83">
      <w:pPr>
        <w:keepNext w:val="0"/>
        <w:keepLines w:val="0"/>
        <w:pageBreakBefore w:val="0"/>
        <w:kinsoku/>
        <w:wordWrap/>
        <w:overflowPunct/>
        <w:topLinePunct w:val="0"/>
        <w:autoSpaceDE/>
        <w:autoSpaceDN/>
        <w:bidi w:val="0"/>
        <w:spacing w:line="572" w:lineRule="exact"/>
        <w:jc w:val="center"/>
        <w:textAlignment w:val="auto"/>
        <w:outlineLvl w:val="2"/>
        <w:rPr>
          <w:rFonts w:hint="eastAsia" w:ascii="仿宋" w:hAnsi="仿宋" w:eastAsia="仿宋" w:cs="仿宋"/>
          <w:b/>
          <w:bCs/>
          <w:color w:val="auto"/>
          <w:sz w:val="44"/>
          <w:szCs w:val="44"/>
          <w:highlight w:val="none"/>
        </w:rPr>
      </w:pPr>
      <w:bookmarkStart w:id="96" w:name="_Toc16782"/>
      <w:r>
        <w:rPr>
          <w:rFonts w:hint="eastAsia" w:ascii="仿宋" w:hAnsi="仿宋" w:eastAsia="仿宋" w:cs="仿宋"/>
          <w:b/>
          <w:bCs/>
          <w:color w:val="auto"/>
          <w:sz w:val="44"/>
          <w:szCs w:val="44"/>
          <w:highlight w:val="none"/>
        </w:rPr>
        <w:t>2024年部门预算绩效评价报告</w:t>
      </w:r>
      <w:bookmarkEnd w:id="96"/>
    </w:p>
    <w:p w14:paraId="734CB198">
      <w:pPr>
        <w:keepNext w:val="0"/>
        <w:keepLines w:val="0"/>
        <w:pageBreakBefore w:val="0"/>
        <w:kinsoku/>
        <w:wordWrap/>
        <w:overflowPunct/>
        <w:topLinePunct w:val="0"/>
        <w:autoSpaceDE/>
        <w:autoSpaceDN/>
        <w:bidi w:val="0"/>
        <w:spacing w:line="572" w:lineRule="exact"/>
        <w:jc w:val="left"/>
        <w:textAlignment w:val="auto"/>
        <w:outlineLvl w:val="9"/>
        <w:rPr>
          <w:rFonts w:hint="eastAsia" w:ascii="Times New Roman" w:hAnsi="Times New Roman" w:eastAsia="黑体" w:cs="黑体"/>
          <w:color w:val="FF0000"/>
          <w:sz w:val="32"/>
          <w:szCs w:val="32"/>
          <w:highlight w:val="none"/>
        </w:rPr>
      </w:pPr>
    </w:p>
    <w:p w14:paraId="71F854CA">
      <w:pPr>
        <w:keepNext w:val="0"/>
        <w:keepLines w:val="0"/>
        <w:pageBreakBefore w:val="0"/>
        <w:kinsoku/>
        <w:wordWrap/>
        <w:overflowPunct/>
        <w:topLinePunct w:val="0"/>
        <w:autoSpaceDE/>
        <w:autoSpaceDN/>
        <w:bidi w:val="0"/>
        <w:spacing w:line="572" w:lineRule="exact"/>
        <w:jc w:val="left"/>
        <w:textAlignment w:val="auto"/>
        <w:outlineLvl w:val="2"/>
        <w:rPr>
          <w:rFonts w:hint="eastAsia" w:ascii="仿宋_GB2312" w:hAnsi="Calibri" w:eastAsia="仿宋_GB2312" w:cs="仿宋"/>
          <w:color w:val="auto"/>
          <w:kern w:val="0"/>
          <w:sz w:val="32"/>
          <w:szCs w:val="32"/>
          <w:lang w:val="en-US" w:eastAsia="zh-CN" w:bidi="ar-SA"/>
        </w:rPr>
      </w:pPr>
      <w:bookmarkStart w:id="97" w:name="_Toc1213"/>
      <w:r>
        <w:rPr>
          <w:rFonts w:hint="eastAsia" w:ascii="仿宋_GB2312" w:hAnsi="Calibri" w:eastAsia="仿宋_GB2312" w:cs="仿宋"/>
          <w:color w:val="auto"/>
          <w:kern w:val="0"/>
          <w:sz w:val="32"/>
          <w:szCs w:val="32"/>
          <w:lang w:val="en-US" w:eastAsia="zh-CN" w:bidi="ar-SA"/>
        </w:rPr>
        <w:t>一、部门（单位）基本情况</w:t>
      </w:r>
      <w:bookmarkEnd w:id="97"/>
    </w:p>
    <w:p w14:paraId="7815F229">
      <w:pPr>
        <w:keepNext w:val="0"/>
        <w:keepLines w:val="0"/>
        <w:pageBreakBefore w:val="0"/>
        <w:kinsoku/>
        <w:wordWrap/>
        <w:overflowPunct/>
        <w:topLinePunct w:val="0"/>
        <w:autoSpaceDE/>
        <w:autoSpaceDN/>
        <w:bidi w:val="0"/>
        <w:spacing w:line="572" w:lineRule="exact"/>
        <w:ind w:firstLine="640" w:firstLineChars="200"/>
        <w:jc w:val="left"/>
        <w:textAlignment w:val="auto"/>
        <w:outlineLvl w:val="3"/>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（一）机构组成。</w:t>
      </w:r>
    </w:p>
    <w:p w14:paraId="17378BA5">
      <w:pPr>
        <w:keepNext w:val="0"/>
        <w:keepLines w:val="0"/>
        <w:pageBreakBefore w:val="0"/>
        <w:kinsoku/>
        <w:wordWrap/>
        <w:overflowPunct/>
        <w:topLinePunct w:val="0"/>
        <w:autoSpaceDE/>
        <w:autoSpaceDN/>
        <w:bidi w:val="0"/>
        <w:spacing w:line="572" w:lineRule="exact"/>
        <w:ind w:firstLine="640" w:firstLineChars="200"/>
        <w:jc w:val="left"/>
        <w:textAlignment w:val="auto"/>
        <w:outlineLvl w:val="9"/>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四川省攀枝花市仁和区金江镇人民政府下属二级单位4个，其中行政单位0个，参照公务员法管理的事业单位0个，其他事业单位4个。</w:t>
      </w:r>
    </w:p>
    <w:p w14:paraId="6393357C">
      <w:pPr>
        <w:keepNext w:val="0"/>
        <w:keepLines w:val="0"/>
        <w:pageBreakBefore w:val="0"/>
        <w:kinsoku/>
        <w:wordWrap/>
        <w:overflowPunct/>
        <w:topLinePunct w:val="0"/>
        <w:autoSpaceDE/>
        <w:autoSpaceDN/>
        <w:bidi w:val="0"/>
        <w:spacing w:line="572" w:lineRule="exact"/>
        <w:ind w:firstLine="640" w:firstLineChars="200"/>
        <w:jc w:val="left"/>
        <w:textAlignment w:val="auto"/>
        <w:outlineLvl w:val="9"/>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纳入四川省攀枝花市仁和区金江镇人民政府2024年度部门决算编制范围的二级预算单位包括：</w:t>
      </w:r>
    </w:p>
    <w:p w14:paraId="47E51F24">
      <w:pPr>
        <w:keepNext w:val="0"/>
        <w:keepLines w:val="0"/>
        <w:pageBreakBefore w:val="0"/>
        <w:kinsoku/>
        <w:wordWrap/>
        <w:overflowPunct/>
        <w:topLinePunct w:val="0"/>
        <w:autoSpaceDE/>
        <w:autoSpaceDN/>
        <w:bidi w:val="0"/>
        <w:spacing w:line="572" w:lineRule="exact"/>
        <w:ind w:firstLine="640" w:firstLineChars="200"/>
        <w:jc w:val="left"/>
        <w:textAlignment w:val="auto"/>
        <w:outlineLvl w:val="1"/>
        <w:rPr>
          <w:rFonts w:hint="eastAsia" w:ascii="仿宋_GB2312" w:hAnsi="Calibri" w:eastAsia="仿宋_GB2312" w:cs="仿宋"/>
          <w:color w:val="auto"/>
          <w:kern w:val="0"/>
          <w:sz w:val="32"/>
          <w:szCs w:val="32"/>
          <w:lang w:val="en-US" w:eastAsia="zh-CN" w:bidi="ar-SA"/>
        </w:rPr>
      </w:pPr>
      <w:bookmarkStart w:id="98" w:name="_Toc10829"/>
      <w:r>
        <w:rPr>
          <w:rFonts w:hint="eastAsia" w:ascii="仿宋_GB2312" w:hAnsi="Calibri" w:eastAsia="仿宋_GB2312" w:cs="仿宋"/>
          <w:color w:val="auto"/>
          <w:kern w:val="0"/>
          <w:sz w:val="32"/>
          <w:szCs w:val="32"/>
          <w:lang w:val="en-US" w:eastAsia="zh-CN" w:bidi="ar-SA"/>
        </w:rPr>
        <w:t>1.攀枝花市仁和区金江镇农业农村综合服务中心</w:t>
      </w:r>
      <w:bookmarkEnd w:id="98"/>
    </w:p>
    <w:p w14:paraId="3C4E962D">
      <w:pPr>
        <w:keepNext w:val="0"/>
        <w:keepLines w:val="0"/>
        <w:pageBreakBefore w:val="0"/>
        <w:kinsoku/>
        <w:wordWrap/>
        <w:overflowPunct/>
        <w:topLinePunct w:val="0"/>
        <w:autoSpaceDE/>
        <w:autoSpaceDN/>
        <w:bidi w:val="0"/>
        <w:spacing w:line="572" w:lineRule="exact"/>
        <w:ind w:firstLine="640" w:firstLineChars="200"/>
        <w:jc w:val="left"/>
        <w:textAlignment w:val="auto"/>
        <w:outlineLvl w:val="1"/>
        <w:rPr>
          <w:rFonts w:hint="eastAsia" w:ascii="仿宋_GB2312" w:hAnsi="Calibri" w:eastAsia="仿宋_GB2312" w:cs="仿宋"/>
          <w:color w:val="auto"/>
          <w:kern w:val="0"/>
          <w:sz w:val="32"/>
          <w:szCs w:val="32"/>
          <w:lang w:val="en-US" w:eastAsia="zh-CN" w:bidi="ar-SA"/>
        </w:rPr>
      </w:pPr>
      <w:bookmarkStart w:id="99" w:name="_Toc16308"/>
      <w:r>
        <w:rPr>
          <w:rFonts w:hint="eastAsia" w:ascii="仿宋_GB2312" w:hAnsi="Calibri" w:eastAsia="仿宋_GB2312" w:cs="仿宋"/>
          <w:color w:val="auto"/>
          <w:kern w:val="0"/>
          <w:sz w:val="32"/>
          <w:szCs w:val="32"/>
          <w:lang w:val="en-US" w:eastAsia="zh-CN" w:bidi="ar-SA"/>
        </w:rPr>
        <w:t>2.攀枝花市仁和区金江镇便民服务中心</w:t>
      </w:r>
      <w:bookmarkEnd w:id="99"/>
    </w:p>
    <w:p w14:paraId="1717D68F">
      <w:pPr>
        <w:keepNext w:val="0"/>
        <w:keepLines w:val="0"/>
        <w:pageBreakBefore w:val="0"/>
        <w:kinsoku/>
        <w:wordWrap/>
        <w:overflowPunct/>
        <w:topLinePunct w:val="0"/>
        <w:autoSpaceDE/>
        <w:autoSpaceDN/>
        <w:bidi w:val="0"/>
        <w:spacing w:line="572" w:lineRule="exact"/>
        <w:ind w:firstLine="640" w:firstLineChars="200"/>
        <w:jc w:val="left"/>
        <w:textAlignment w:val="auto"/>
        <w:outlineLvl w:val="1"/>
        <w:rPr>
          <w:rFonts w:hint="eastAsia" w:ascii="仿宋_GB2312" w:hAnsi="Calibri" w:eastAsia="仿宋_GB2312" w:cs="仿宋"/>
          <w:color w:val="auto"/>
          <w:kern w:val="0"/>
          <w:sz w:val="32"/>
          <w:szCs w:val="32"/>
          <w:lang w:val="en-US" w:eastAsia="zh-CN" w:bidi="ar-SA"/>
        </w:rPr>
      </w:pPr>
      <w:bookmarkStart w:id="100" w:name="_Toc13036"/>
      <w:r>
        <w:rPr>
          <w:rFonts w:hint="eastAsia" w:ascii="仿宋_GB2312" w:hAnsi="Calibri" w:eastAsia="仿宋_GB2312" w:cs="仿宋"/>
          <w:color w:val="auto"/>
          <w:kern w:val="0"/>
          <w:sz w:val="32"/>
          <w:szCs w:val="32"/>
          <w:lang w:val="en-US" w:eastAsia="zh-CN" w:bidi="ar-SA"/>
        </w:rPr>
        <w:t>3.攀枝花市仁和区金江镇移民安置服务中心</w:t>
      </w:r>
      <w:bookmarkEnd w:id="100"/>
    </w:p>
    <w:p w14:paraId="4F0E8EDA">
      <w:pPr>
        <w:keepNext w:val="0"/>
        <w:keepLines w:val="0"/>
        <w:pageBreakBefore w:val="0"/>
        <w:kinsoku/>
        <w:wordWrap/>
        <w:overflowPunct/>
        <w:topLinePunct w:val="0"/>
        <w:autoSpaceDE/>
        <w:autoSpaceDN/>
        <w:bidi w:val="0"/>
        <w:spacing w:line="572" w:lineRule="exact"/>
        <w:ind w:firstLine="640" w:firstLineChars="200"/>
        <w:jc w:val="left"/>
        <w:textAlignment w:val="auto"/>
        <w:outlineLvl w:val="2"/>
        <w:rPr>
          <w:rFonts w:hint="eastAsia" w:ascii="仿宋_GB2312" w:hAnsi="Calibri" w:eastAsia="仿宋_GB2312" w:cs="仿宋"/>
          <w:color w:val="auto"/>
          <w:kern w:val="0"/>
          <w:sz w:val="32"/>
          <w:szCs w:val="32"/>
          <w:lang w:val="en-US" w:eastAsia="zh-CN" w:bidi="ar-SA"/>
        </w:rPr>
      </w:pPr>
      <w:bookmarkStart w:id="101" w:name="_Toc11752"/>
      <w:r>
        <w:rPr>
          <w:rFonts w:hint="eastAsia" w:ascii="仿宋_GB2312" w:hAnsi="Calibri" w:eastAsia="仿宋_GB2312" w:cs="仿宋"/>
          <w:color w:val="auto"/>
          <w:kern w:val="0"/>
          <w:sz w:val="32"/>
          <w:szCs w:val="32"/>
          <w:lang w:val="en-US" w:eastAsia="zh-CN" w:bidi="ar-SA"/>
        </w:rPr>
        <w:t>（二）机构职能和人员概况。</w:t>
      </w:r>
      <w:bookmarkEnd w:id="101"/>
    </w:p>
    <w:p w14:paraId="01B94C3F">
      <w:pPr>
        <w:keepNext w:val="0"/>
        <w:keepLines w:val="0"/>
        <w:pageBreakBefore w:val="0"/>
        <w:kinsoku/>
        <w:wordWrap/>
        <w:overflowPunct/>
        <w:topLinePunct w:val="0"/>
        <w:autoSpaceDE/>
        <w:autoSpaceDN/>
        <w:bidi w:val="0"/>
        <w:spacing w:line="572" w:lineRule="exact"/>
        <w:ind w:firstLine="640" w:firstLineChars="200"/>
        <w:jc w:val="left"/>
        <w:textAlignment w:val="auto"/>
        <w:outlineLvl w:val="9"/>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攀枝花市仁和区金江镇人民政府主要职能是：认真宣传、贯彻党和国家的路线、方针、政策和法律、法规，执行上级党组织和国家行政机关的决定、命令和指示；履行好宪法和法律赋予的职责和义务；保证党和国家的路线、方针、政策和法律、法规在本镇的贯彻落实。负责本镇、村、企业党的建设和村民委员会建设；负责搞好本镇党员、干部的党风廉政建设和政务、村务公开工作；负责领导本镇群团组织和民兵武装的工作；负责指导、协调管理本镇各事业单位工作，负责搞好本镇的文化、体育、教育、卫生、科技、信息、广播、电影、电视、司法、民政、户籍、社会治安、劳动保障、民族、宗教等项工作；抓好财政、金融和税费征收协调工作等。2024年底在职人员共45名，其中公务员25名，参公管理1名，行政工勤3名，事业人员19名，代管公务员1名。</w:t>
      </w:r>
    </w:p>
    <w:p w14:paraId="1003A118">
      <w:pPr>
        <w:keepNext w:val="0"/>
        <w:keepLines w:val="0"/>
        <w:pageBreakBefore w:val="0"/>
        <w:kinsoku/>
        <w:wordWrap/>
        <w:overflowPunct/>
        <w:topLinePunct w:val="0"/>
        <w:autoSpaceDE/>
        <w:autoSpaceDN/>
        <w:bidi w:val="0"/>
        <w:spacing w:line="572" w:lineRule="exact"/>
        <w:ind w:firstLine="640" w:firstLineChars="200"/>
        <w:jc w:val="left"/>
        <w:textAlignment w:val="auto"/>
        <w:outlineLvl w:val="2"/>
        <w:rPr>
          <w:rFonts w:hint="eastAsia" w:ascii="仿宋_GB2312" w:hAnsi="Calibri" w:eastAsia="仿宋_GB2312" w:cs="仿宋"/>
          <w:color w:val="auto"/>
          <w:kern w:val="0"/>
          <w:sz w:val="32"/>
          <w:szCs w:val="32"/>
          <w:lang w:val="en-US" w:eastAsia="zh-CN" w:bidi="ar-SA"/>
        </w:rPr>
      </w:pPr>
      <w:bookmarkStart w:id="102" w:name="_Toc12860"/>
      <w:r>
        <w:rPr>
          <w:rFonts w:hint="eastAsia" w:ascii="仿宋_GB2312" w:hAnsi="Calibri" w:eastAsia="仿宋_GB2312" w:cs="仿宋"/>
          <w:color w:val="auto"/>
          <w:kern w:val="0"/>
          <w:sz w:val="32"/>
          <w:szCs w:val="32"/>
          <w:lang w:val="en-US" w:eastAsia="zh-CN" w:bidi="ar-SA"/>
        </w:rPr>
        <w:t>（三）年度主要工作任务。</w:t>
      </w:r>
      <w:bookmarkEnd w:id="102"/>
    </w:p>
    <w:p w14:paraId="634F40D4">
      <w:pPr>
        <w:keepNext w:val="0"/>
        <w:keepLines w:val="0"/>
        <w:pageBreakBefore w:val="0"/>
        <w:kinsoku/>
        <w:wordWrap/>
        <w:overflowPunct/>
        <w:topLinePunct w:val="0"/>
        <w:autoSpaceDE/>
        <w:autoSpaceDN/>
        <w:bidi w:val="0"/>
        <w:spacing w:line="572" w:lineRule="exact"/>
        <w:ind w:firstLine="640" w:firstLineChars="200"/>
        <w:jc w:val="left"/>
        <w:textAlignment w:val="auto"/>
        <w:outlineLvl w:val="9"/>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继续做好增收节支工作，依法理财。积极进行税源清理，做到应收尽收；继续联系协调纳入仁和区涉农打捆项目盘子，争取早做项目预测，科学储备项目，加强信息沟通，做好部门协调，积极争取各项资金，为服务经济社会发展解决资金缺口，缓解全镇财政困难提前做好规划。克服困难，拓宽争取资金渠道，通过仁和区增加专项转移支付资金，通过市财政加大对于国家和省一般性转移支付资金的争取，切实增加财力；严格按预算指标执行，加强部门预算管理，严格按照国库集中支付程序进行，加强监管、节约支出、优化结构、科学分析做好财政支出预算执行工作。</w:t>
      </w:r>
    </w:p>
    <w:p w14:paraId="06FC0DFD">
      <w:pPr>
        <w:keepNext w:val="0"/>
        <w:keepLines w:val="0"/>
        <w:pageBreakBefore w:val="0"/>
        <w:kinsoku/>
        <w:wordWrap/>
        <w:overflowPunct/>
        <w:topLinePunct w:val="0"/>
        <w:autoSpaceDE/>
        <w:autoSpaceDN/>
        <w:bidi w:val="0"/>
        <w:spacing w:line="572" w:lineRule="exact"/>
        <w:ind w:firstLine="640" w:firstLineChars="200"/>
        <w:jc w:val="left"/>
        <w:textAlignment w:val="auto"/>
        <w:outlineLvl w:val="9"/>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2.进一步理顺财政管理体制。不断加强政策理论学习，深入钻研业务，认真研究现有财政体制，改变理财思路，推进体制创新，提高财政业务素质和财政管理水平。</w:t>
      </w:r>
    </w:p>
    <w:p w14:paraId="44550764">
      <w:pPr>
        <w:keepNext w:val="0"/>
        <w:keepLines w:val="0"/>
        <w:pageBreakBefore w:val="0"/>
        <w:kinsoku/>
        <w:wordWrap/>
        <w:overflowPunct/>
        <w:topLinePunct w:val="0"/>
        <w:autoSpaceDE/>
        <w:autoSpaceDN/>
        <w:bidi w:val="0"/>
        <w:spacing w:line="572" w:lineRule="exact"/>
        <w:ind w:firstLine="640" w:firstLineChars="200"/>
        <w:jc w:val="left"/>
        <w:textAlignment w:val="auto"/>
        <w:outlineLvl w:val="9"/>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3.继续深化政府债务化解工作。把加强债务化解工作纳入政府财政的重要内容，做好台账管理和财政周转资金、世行贷款的清收、催收，同时，积采纳债务化解合理建议，加强管理，严格预防新债务产生，发挥好财政职能作用，贯彻好国家省市的化债政策，多方筹措积极争取债务化解政策和资金。</w:t>
      </w:r>
    </w:p>
    <w:p w14:paraId="5FDA52CA">
      <w:pPr>
        <w:keepNext w:val="0"/>
        <w:keepLines w:val="0"/>
        <w:pageBreakBefore w:val="0"/>
        <w:kinsoku/>
        <w:wordWrap/>
        <w:overflowPunct/>
        <w:topLinePunct w:val="0"/>
        <w:autoSpaceDE/>
        <w:autoSpaceDN/>
        <w:bidi w:val="0"/>
        <w:spacing w:line="572" w:lineRule="exact"/>
        <w:ind w:firstLine="640" w:firstLineChars="200"/>
        <w:jc w:val="left"/>
        <w:textAlignment w:val="auto"/>
        <w:outlineLvl w:val="9"/>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4.强化预算监管，做好预决算法定公开。严格财务内部控制、合理岗位分工，提高财政资金的安全及使用效益，继续做好财政专项资金的监管（特别是重点工程项目资金），继续做好预算编制科学性和完整性，向财政综合年度报告迈进；按财政改革要求加强推进基层财政改革，继续贯彻执行财政国库集中支付，特别是国家新预算法要体现在国库集中支付中的相关工作中，预决算公开按照法定程度进行公开，增强预决算透明度。</w:t>
      </w:r>
    </w:p>
    <w:p w14:paraId="775AB8E1">
      <w:pPr>
        <w:keepNext w:val="0"/>
        <w:keepLines w:val="0"/>
        <w:pageBreakBefore w:val="0"/>
        <w:kinsoku/>
        <w:wordWrap/>
        <w:overflowPunct/>
        <w:topLinePunct w:val="0"/>
        <w:autoSpaceDE/>
        <w:autoSpaceDN/>
        <w:bidi w:val="0"/>
        <w:spacing w:line="572" w:lineRule="exact"/>
        <w:ind w:firstLine="640" w:firstLineChars="200"/>
        <w:jc w:val="left"/>
        <w:textAlignment w:val="auto"/>
        <w:outlineLvl w:val="2"/>
        <w:rPr>
          <w:rFonts w:hint="eastAsia" w:ascii="仿宋_GB2312" w:hAnsi="Calibri" w:eastAsia="仿宋_GB2312" w:cs="仿宋"/>
          <w:color w:val="auto"/>
          <w:kern w:val="0"/>
          <w:sz w:val="32"/>
          <w:szCs w:val="32"/>
          <w:lang w:val="en-US" w:eastAsia="zh-CN" w:bidi="ar-SA"/>
        </w:rPr>
      </w:pPr>
      <w:bookmarkStart w:id="103" w:name="_Toc11227"/>
      <w:r>
        <w:rPr>
          <w:rFonts w:hint="eastAsia" w:ascii="仿宋_GB2312" w:hAnsi="Calibri" w:eastAsia="仿宋_GB2312" w:cs="仿宋"/>
          <w:color w:val="auto"/>
          <w:kern w:val="0"/>
          <w:sz w:val="32"/>
          <w:szCs w:val="32"/>
          <w:lang w:val="en-US" w:eastAsia="zh-CN" w:bidi="ar-SA"/>
        </w:rPr>
        <w:t>（四）部门整体支出绩效目标。</w:t>
      </w:r>
      <w:bookmarkEnd w:id="103"/>
    </w:p>
    <w:p w14:paraId="7842A643">
      <w:pPr>
        <w:keepNext w:val="0"/>
        <w:keepLines w:val="0"/>
        <w:pageBreakBefore w:val="0"/>
        <w:kinsoku/>
        <w:wordWrap/>
        <w:overflowPunct/>
        <w:topLinePunct w:val="0"/>
        <w:autoSpaceDE/>
        <w:autoSpaceDN/>
        <w:bidi w:val="0"/>
        <w:spacing w:line="572" w:lineRule="exact"/>
        <w:ind w:firstLine="640" w:firstLineChars="200"/>
        <w:jc w:val="left"/>
        <w:textAlignment w:val="auto"/>
        <w:outlineLvl w:val="9"/>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本行政区域内的经济、教育、科学、文化、卫生、体育事业和财政、民政、公安、司法行政、计划生育、精准扶贫等行政工作有序推进，确保2024年度各项工作目标任务的实现。</w:t>
      </w:r>
    </w:p>
    <w:p w14:paraId="315BA570">
      <w:pPr>
        <w:keepNext w:val="0"/>
        <w:keepLines w:val="0"/>
        <w:pageBreakBefore w:val="0"/>
        <w:kinsoku/>
        <w:wordWrap/>
        <w:overflowPunct/>
        <w:topLinePunct w:val="0"/>
        <w:autoSpaceDE/>
        <w:autoSpaceDN/>
        <w:bidi w:val="0"/>
        <w:spacing w:line="572" w:lineRule="exact"/>
        <w:ind w:firstLine="640" w:firstLineChars="200"/>
        <w:jc w:val="left"/>
        <w:textAlignment w:val="auto"/>
        <w:outlineLvl w:val="3"/>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 xml:space="preserve">二、部门资金收支情况 </w:t>
      </w:r>
    </w:p>
    <w:p w14:paraId="7C81FD5F">
      <w:pPr>
        <w:keepNext w:val="0"/>
        <w:keepLines w:val="0"/>
        <w:pageBreakBefore w:val="0"/>
        <w:kinsoku/>
        <w:wordWrap/>
        <w:overflowPunct/>
        <w:topLinePunct w:val="0"/>
        <w:autoSpaceDE/>
        <w:autoSpaceDN/>
        <w:bidi w:val="0"/>
        <w:spacing w:line="572" w:lineRule="exact"/>
        <w:ind w:firstLine="640" w:firstLineChars="200"/>
        <w:jc w:val="left"/>
        <w:textAlignment w:val="auto"/>
        <w:outlineLvl w:val="2"/>
        <w:rPr>
          <w:rFonts w:hint="eastAsia" w:ascii="仿宋_GB2312" w:hAnsi="Calibri" w:eastAsia="仿宋_GB2312" w:cs="仿宋"/>
          <w:color w:val="auto"/>
          <w:kern w:val="0"/>
          <w:sz w:val="32"/>
          <w:szCs w:val="32"/>
          <w:lang w:val="en-US" w:eastAsia="zh-CN" w:bidi="ar-SA"/>
        </w:rPr>
      </w:pPr>
      <w:bookmarkStart w:id="104" w:name="_Toc14300"/>
      <w:r>
        <w:rPr>
          <w:rFonts w:hint="eastAsia" w:ascii="仿宋_GB2312" w:hAnsi="Calibri" w:eastAsia="仿宋_GB2312" w:cs="仿宋"/>
          <w:color w:val="auto"/>
          <w:kern w:val="0"/>
          <w:sz w:val="32"/>
          <w:szCs w:val="32"/>
          <w:lang w:val="en-US" w:eastAsia="zh-CN" w:bidi="ar-SA"/>
        </w:rPr>
        <w:t>（一）部门总体收支情况。</w:t>
      </w:r>
      <w:bookmarkEnd w:id="104"/>
    </w:p>
    <w:p w14:paraId="77BA01EC">
      <w:pPr>
        <w:keepNext w:val="0"/>
        <w:keepLines w:val="0"/>
        <w:pageBreakBefore w:val="0"/>
        <w:kinsoku/>
        <w:wordWrap/>
        <w:overflowPunct/>
        <w:topLinePunct w:val="0"/>
        <w:autoSpaceDE/>
        <w:autoSpaceDN/>
        <w:bidi w:val="0"/>
        <w:spacing w:line="572" w:lineRule="exact"/>
        <w:ind w:firstLine="640" w:firstLineChars="200"/>
        <w:jc w:val="left"/>
        <w:textAlignment w:val="auto"/>
        <w:outlineLvl w:val="3"/>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2024年部门总体收入9841.3万元，总体支出9841.3万元，结余0元。</w:t>
      </w:r>
    </w:p>
    <w:p w14:paraId="179E57EE">
      <w:pPr>
        <w:keepNext w:val="0"/>
        <w:keepLines w:val="0"/>
        <w:pageBreakBefore w:val="0"/>
        <w:kinsoku/>
        <w:wordWrap/>
        <w:overflowPunct/>
        <w:topLinePunct w:val="0"/>
        <w:autoSpaceDE/>
        <w:autoSpaceDN/>
        <w:bidi w:val="0"/>
        <w:spacing w:line="572" w:lineRule="exact"/>
        <w:ind w:firstLine="640" w:firstLineChars="200"/>
        <w:jc w:val="left"/>
        <w:textAlignment w:val="auto"/>
        <w:outlineLvl w:val="2"/>
        <w:rPr>
          <w:rFonts w:hint="eastAsia" w:ascii="仿宋_GB2312" w:hAnsi="Calibri" w:eastAsia="仿宋_GB2312" w:cs="仿宋"/>
          <w:color w:val="auto"/>
          <w:kern w:val="0"/>
          <w:sz w:val="32"/>
          <w:szCs w:val="32"/>
          <w:lang w:val="en-US" w:eastAsia="zh-CN" w:bidi="ar-SA"/>
        </w:rPr>
      </w:pPr>
      <w:bookmarkStart w:id="105" w:name="_Toc17199"/>
      <w:r>
        <w:rPr>
          <w:rFonts w:hint="eastAsia" w:ascii="仿宋_GB2312" w:hAnsi="Calibri" w:eastAsia="仿宋_GB2312" w:cs="仿宋"/>
          <w:color w:val="auto"/>
          <w:kern w:val="0"/>
          <w:sz w:val="32"/>
          <w:szCs w:val="32"/>
          <w:lang w:val="en-US" w:eastAsia="zh-CN" w:bidi="ar-SA"/>
        </w:rPr>
        <w:t>（二） 部门财政拨款收支情况。</w:t>
      </w:r>
      <w:bookmarkEnd w:id="105"/>
    </w:p>
    <w:p w14:paraId="11AAB9D0">
      <w:pPr>
        <w:keepNext w:val="0"/>
        <w:keepLines w:val="0"/>
        <w:pageBreakBefore w:val="0"/>
        <w:kinsoku/>
        <w:wordWrap/>
        <w:overflowPunct/>
        <w:topLinePunct w:val="0"/>
        <w:autoSpaceDE/>
        <w:autoSpaceDN/>
        <w:bidi w:val="0"/>
        <w:spacing w:line="572" w:lineRule="exact"/>
        <w:ind w:firstLine="640" w:firstLineChars="200"/>
        <w:jc w:val="left"/>
        <w:textAlignment w:val="auto"/>
        <w:outlineLvl w:val="9"/>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2024年部门财政拨款收入9841.3万元，部门财政拨款支出9841.3万元万元，结余0元。</w:t>
      </w:r>
    </w:p>
    <w:p w14:paraId="3E1BF5D4">
      <w:pPr>
        <w:keepNext w:val="0"/>
        <w:keepLines w:val="0"/>
        <w:pageBreakBefore w:val="0"/>
        <w:kinsoku/>
        <w:wordWrap/>
        <w:overflowPunct/>
        <w:topLinePunct w:val="0"/>
        <w:autoSpaceDE/>
        <w:autoSpaceDN/>
        <w:bidi w:val="0"/>
        <w:spacing w:line="572" w:lineRule="exact"/>
        <w:ind w:firstLine="640" w:firstLineChars="200"/>
        <w:jc w:val="left"/>
        <w:textAlignment w:val="auto"/>
        <w:outlineLvl w:val="3"/>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三、部门整体绩效分析</w:t>
      </w:r>
    </w:p>
    <w:p w14:paraId="1CC7BC7E">
      <w:pPr>
        <w:keepNext w:val="0"/>
        <w:keepLines w:val="0"/>
        <w:pageBreakBefore w:val="0"/>
        <w:kinsoku/>
        <w:wordWrap/>
        <w:overflowPunct/>
        <w:topLinePunct w:val="0"/>
        <w:autoSpaceDE/>
        <w:autoSpaceDN/>
        <w:bidi w:val="0"/>
        <w:spacing w:line="572" w:lineRule="exact"/>
        <w:ind w:firstLine="640" w:firstLineChars="200"/>
        <w:jc w:val="left"/>
        <w:textAlignment w:val="auto"/>
        <w:outlineLvl w:val="3"/>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四、（一）部门预算项目绩效分析。</w:t>
      </w:r>
    </w:p>
    <w:p w14:paraId="115448AE">
      <w:pPr>
        <w:keepNext w:val="0"/>
        <w:keepLines w:val="0"/>
        <w:pageBreakBefore w:val="0"/>
        <w:kinsoku/>
        <w:wordWrap/>
        <w:overflowPunct/>
        <w:topLinePunct w:val="0"/>
        <w:autoSpaceDE/>
        <w:autoSpaceDN/>
        <w:bidi w:val="0"/>
        <w:spacing w:line="572" w:lineRule="exact"/>
        <w:ind w:firstLine="640" w:firstLineChars="200"/>
        <w:jc w:val="left"/>
        <w:textAlignment w:val="auto"/>
        <w:outlineLvl w:val="1"/>
        <w:rPr>
          <w:rFonts w:hint="eastAsia" w:ascii="仿宋_GB2312" w:hAnsi="Calibri" w:eastAsia="仿宋_GB2312" w:cs="仿宋"/>
          <w:color w:val="auto"/>
          <w:kern w:val="0"/>
          <w:sz w:val="32"/>
          <w:szCs w:val="32"/>
          <w:lang w:val="en-US" w:eastAsia="zh-CN" w:bidi="ar-SA"/>
        </w:rPr>
      </w:pPr>
      <w:bookmarkStart w:id="106" w:name="_Toc1379"/>
      <w:r>
        <w:rPr>
          <w:rFonts w:hint="eastAsia" w:ascii="仿宋_GB2312" w:hAnsi="Calibri" w:eastAsia="仿宋_GB2312" w:cs="仿宋"/>
          <w:color w:val="auto"/>
          <w:kern w:val="0"/>
          <w:sz w:val="32"/>
          <w:szCs w:val="32"/>
          <w:lang w:val="en-US" w:eastAsia="zh-CN" w:bidi="ar-SA"/>
        </w:rPr>
        <w:t>1.人员类项目绩效分析</w:t>
      </w:r>
      <w:bookmarkEnd w:id="106"/>
    </w:p>
    <w:p w14:paraId="488997A6">
      <w:pPr>
        <w:keepNext w:val="0"/>
        <w:keepLines w:val="0"/>
        <w:pageBreakBefore w:val="0"/>
        <w:kinsoku/>
        <w:wordWrap/>
        <w:overflowPunct/>
        <w:topLinePunct w:val="0"/>
        <w:autoSpaceDE/>
        <w:autoSpaceDN/>
        <w:bidi w:val="0"/>
        <w:spacing w:line="572" w:lineRule="exact"/>
        <w:ind w:firstLine="640" w:firstLineChars="200"/>
        <w:jc w:val="left"/>
        <w:textAlignment w:val="auto"/>
        <w:outlineLvl w:val="9"/>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2024年人员类项目主要人员工资、社保、公积金等，绩效目标制定主要是保障人员工资社保公积金等人员类项目支出，宗在保障人员基本支出，推动各部门工作正常开展，圆满完成年度目标任务；支出过程按月及时支付，执行进度顺利、预算完成100%、无资金结余，无违规记录。</w:t>
      </w:r>
    </w:p>
    <w:p w14:paraId="1C8744F3">
      <w:pPr>
        <w:keepNext w:val="0"/>
        <w:keepLines w:val="0"/>
        <w:pageBreakBefore w:val="0"/>
        <w:kinsoku/>
        <w:wordWrap/>
        <w:overflowPunct/>
        <w:topLinePunct w:val="0"/>
        <w:autoSpaceDE/>
        <w:autoSpaceDN/>
        <w:bidi w:val="0"/>
        <w:spacing w:line="572" w:lineRule="exact"/>
        <w:ind w:firstLine="640" w:firstLineChars="200"/>
        <w:jc w:val="left"/>
        <w:textAlignment w:val="auto"/>
        <w:outlineLvl w:val="1"/>
        <w:rPr>
          <w:rFonts w:hint="eastAsia" w:ascii="仿宋_GB2312" w:hAnsi="Calibri" w:eastAsia="仿宋_GB2312" w:cs="仿宋"/>
          <w:color w:val="auto"/>
          <w:kern w:val="0"/>
          <w:sz w:val="32"/>
          <w:szCs w:val="32"/>
          <w:lang w:val="en-US" w:eastAsia="zh-CN" w:bidi="ar-SA"/>
        </w:rPr>
      </w:pPr>
      <w:bookmarkStart w:id="107" w:name="_Toc31668"/>
      <w:r>
        <w:rPr>
          <w:rFonts w:hint="eastAsia" w:ascii="仿宋_GB2312" w:hAnsi="Calibri" w:eastAsia="仿宋_GB2312" w:cs="仿宋"/>
          <w:color w:val="auto"/>
          <w:kern w:val="0"/>
          <w:sz w:val="32"/>
          <w:szCs w:val="32"/>
          <w:lang w:val="en-US" w:eastAsia="zh-CN" w:bidi="ar-SA"/>
        </w:rPr>
        <w:t>2.运转类项目绩效分析</w:t>
      </w:r>
      <w:bookmarkEnd w:id="107"/>
    </w:p>
    <w:p w14:paraId="28AD3B0A">
      <w:pPr>
        <w:keepNext w:val="0"/>
        <w:keepLines w:val="0"/>
        <w:pageBreakBefore w:val="0"/>
        <w:kinsoku/>
        <w:wordWrap/>
        <w:overflowPunct/>
        <w:topLinePunct w:val="0"/>
        <w:autoSpaceDE/>
        <w:autoSpaceDN/>
        <w:bidi w:val="0"/>
        <w:spacing w:line="572" w:lineRule="exact"/>
        <w:ind w:firstLine="640" w:firstLineChars="200"/>
        <w:jc w:val="left"/>
        <w:textAlignment w:val="auto"/>
        <w:outlineLvl w:val="9"/>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2024年人员类项目主要包括村社区干部工资、聘用及劳务派遣人员工资等，绩效目标制定主要是保障人员工资及时支付，推动各部门、村居工作正常开展，圆满完成年度目标任务；支出过程按月及时支付，执行进度顺利、预算完成100%、无资金结余，无违规记录。</w:t>
      </w:r>
    </w:p>
    <w:p w14:paraId="25C88BAC">
      <w:pPr>
        <w:keepNext w:val="0"/>
        <w:keepLines w:val="0"/>
        <w:pageBreakBefore w:val="0"/>
        <w:kinsoku/>
        <w:wordWrap/>
        <w:overflowPunct/>
        <w:topLinePunct w:val="0"/>
        <w:autoSpaceDE/>
        <w:autoSpaceDN/>
        <w:bidi w:val="0"/>
        <w:spacing w:line="572" w:lineRule="exact"/>
        <w:ind w:firstLine="640" w:firstLineChars="200"/>
        <w:jc w:val="left"/>
        <w:textAlignment w:val="auto"/>
        <w:outlineLvl w:val="1"/>
        <w:rPr>
          <w:rFonts w:hint="eastAsia" w:ascii="仿宋_GB2312" w:hAnsi="Calibri" w:eastAsia="仿宋_GB2312" w:cs="仿宋"/>
          <w:color w:val="auto"/>
          <w:kern w:val="0"/>
          <w:sz w:val="32"/>
          <w:szCs w:val="32"/>
          <w:lang w:val="en-US" w:eastAsia="zh-CN" w:bidi="ar-SA"/>
        </w:rPr>
      </w:pPr>
      <w:bookmarkStart w:id="108" w:name="_Toc26026"/>
      <w:r>
        <w:rPr>
          <w:rFonts w:hint="eastAsia" w:ascii="仿宋_GB2312" w:hAnsi="Calibri" w:eastAsia="仿宋_GB2312" w:cs="仿宋"/>
          <w:color w:val="auto"/>
          <w:kern w:val="0"/>
          <w:sz w:val="32"/>
          <w:szCs w:val="32"/>
          <w:lang w:val="en-US" w:eastAsia="zh-CN" w:bidi="ar-SA"/>
        </w:rPr>
        <w:t>3.特定目标类项目绩效分析</w:t>
      </w:r>
      <w:bookmarkEnd w:id="108"/>
    </w:p>
    <w:p w14:paraId="242D7415">
      <w:pPr>
        <w:keepNext w:val="0"/>
        <w:keepLines w:val="0"/>
        <w:pageBreakBefore w:val="0"/>
        <w:kinsoku/>
        <w:wordWrap/>
        <w:overflowPunct/>
        <w:topLinePunct w:val="0"/>
        <w:autoSpaceDE/>
        <w:autoSpaceDN/>
        <w:bidi w:val="0"/>
        <w:spacing w:line="572" w:lineRule="exact"/>
        <w:ind w:firstLine="640" w:firstLineChars="200"/>
        <w:jc w:val="left"/>
        <w:textAlignment w:val="auto"/>
        <w:outlineLvl w:val="9"/>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2024年特定目标类项目主要包括征地拆迁、巩固脱贫成果衔接乡村振兴、农林水、民政、计生、生态环保等各部门特定目标类项目，绩效目标制定主要围绕各部门各项目的年度目标任务，支出按项目实施计划及进展支付，执行进度顺利、预算完成100%、无资金结余，无违规记录。</w:t>
      </w:r>
    </w:p>
    <w:p w14:paraId="274ECBD2">
      <w:pPr>
        <w:keepNext w:val="0"/>
        <w:keepLines w:val="0"/>
        <w:pageBreakBefore w:val="0"/>
        <w:kinsoku/>
        <w:wordWrap/>
        <w:overflowPunct/>
        <w:topLinePunct w:val="0"/>
        <w:autoSpaceDE/>
        <w:autoSpaceDN/>
        <w:bidi w:val="0"/>
        <w:spacing w:line="572" w:lineRule="exact"/>
        <w:ind w:firstLine="640" w:firstLineChars="200"/>
        <w:jc w:val="left"/>
        <w:textAlignment w:val="auto"/>
        <w:outlineLvl w:val="2"/>
        <w:rPr>
          <w:rFonts w:hint="eastAsia" w:ascii="仿宋_GB2312" w:hAnsi="Calibri" w:eastAsia="仿宋_GB2312" w:cs="仿宋"/>
          <w:color w:val="auto"/>
          <w:kern w:val="0"/>
          <w:sz w:val="32"/>
          <w:szCs w:val="32"/>
          <w:lang w:val="en-US" w:eastAsia="zh-CN" w:bidi="ar-SA"/>
        </w:rPr>
      </w:pPr>
      <w:bookmarkStart w:id="109" w:name="_Toc30206"/>
      <w:r>
        <w:rPr>
          <w:rFonts w:hint="eastAsia" w:ascii="仿宋_GB2312" w:hAnsi="Calibri" w:eastAsia="仿宋_GB2312" w:cs="仿宋"/>
          <w:color w:val="auto"/>
          <w:kern w:val="0"/>
          <w:sz w:val="32"/>
          <w:szCs w:val="32"/>
          <w:lang w:val="en-US" w:eastAsia="zh-CN" w:bidi="ar-SA"/>
        </w:rPr>
        <w:t>（二）部门整体履职绩效分析。</w:t>
      </w:r>
      <w:bookmarkEnd w:id="109"/>
    </w:p>
    <w:p w14:paraId="2C26540E">
      <w:pPr>
        <w:keepNext w:val="0"/>
        <w:keepLines w:val="0"/>
        <w:pageBreakBefore w:val="0"/>
        <w:kinsoku/>
        <w:wordWrap/>
        <w:overflowPunct/>
        <w:topLinePunct w:val="0"/>
        <w:autoSpaceDE/>
        <w:autoSpaceDN/>
        <w:bidi w:val="0"/>
        <w:spacing w:line="572" w:lineRule="exact"/>
        <w:ind w:firstLine="640" w:firstLineChars="200"/>
        <w:jc w:val="left"/>
        <w:textAlignment w:val="auto"/>
        <w:outlineLvl w:val="9"/>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从履职及履职效益情况来看，总体效果比较好。从经济性来看，各负责部门能够按照预算来抓好成本控制，强化勤俭办事的意识，注重节约开支，年度开支控制在财政局规定的范围内:从效率性来看各部门对所承担的工作能够按照计划的时间把握进度，抓好质量，注重了工作的效率;从有效性来看各专项工作的分工负责部门均能够按照制度和各自的目标来抓好落实，注重了专项资金的使用效果;从可持续性来看，后续的政策、相关的配套资金、必要的人员机构要继续保持，管理制度做到与时俱进相关内容进行了及时补充完善。</w:t>
      </w:r>
    </w:p>
    <w:p w14:paraId="224C6FE6">
      <w:pPr>
        <w:keepNext w:val="0"/>
        <w:keepLines w:val="0"/>
        <w:pageBreakBefore w:val="0"/>
        <w:kinsoku/>
        <w:wordWrap/>
        <w:overflowPunct/>
        <w:topLinePunct w:val="0"/>
        <w:autoSpaceDE/>
        <w:autoSpaceDN/>
        <w:bidi w:val="0"/>
        <w:spacing w:line="572" w:lineRule="exact"/>
        <w:ind w:firstLine="640" w:firstLineChars="200"/>
        <w:jc w:val="left"/>
        <w:textAlignment w:val="auto"/>
        <w:outlineLvl w:val="2"/>
        <w:rPr>
          <w:rFonts w:hint="eastAsia" w:ascii="仿宋_GB2312" w:hAnsi="Calibri" w:eastAsia="仿宋_GB2312" w:cs="仿宋"/>
          <w:color w:val="auto"/>
          <w:kern w:val="0"/>
          <w:sz w:val="32"/>
          <w:szCs w:val="32"/>
          <w:lang w:val="en-US" w:eastAsia="zh-CN" w:bidi="ar-SA"/>
        </w:rPr>
      </w:pPr>
      <w:bookmarkStart w:id="110" w:name="_Toc31630"/>
      <w:r>
        <w:rPr>
          <w:rFonts w:hint="eastAsia" w:ascii="仿宋_GB2312" w:hAnsi="Calibri" w:eastAsia="仿宋_GB2312" w:cs="仿宋"/>
          <w:color w:val="auto"/>
          <w:kern w:val="0"/>
          <w:sz w:val="32"/>
          <w:szCs w:val="32"/>
          <w:lang w:val="en-US" w:eastAsia="zh-CN" w:bidi="ar-SA"/>
        </w:rPr>
        <w:t>（三）结果应用情况。</w:t>
      </w:r>
      <w:bookmarkEnd w:id="110"/>
    </w:p>
    <w:p w14:paraId="03EED46B">
      <w:pPr>
        <w:keepNext w:val="0"/>
        <w:keepLines w:val="0"/>
        <w:pageBreakBefore w:val="0"/>
        <w:kinsoku/>
        <w:wordWrap/>
        <w:overflowPunct/>
        <w:topLinePunct w:val="0"/>
        <w:autoSpaceDE/>
        <w:autoSpaceDN/>
        <w:bidi w:val="0"/>
        <w:spacing w:line="572" w:lineRule="exact"/>
        <w:ind w:firstLine="640" w:firstLineChars="200"/>
        <w:jc w:val="left"/>
        <w:textAlignment w:val="auto"/>
        <w:outlineLvl w:val="9"/>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高度重视绩效评价结果的应用工作，积极探索和建立一套与预算管理相结合、多渠道应用评价结果的有效机制，着力提高绩效意识和财政资金使用效益。同时，将绩效目标自评报告进行公开，广泛接受社会监督</w:t>
      </w:r>
    </w:p>
    <w:p w14:paraId="73B546A5">
      <w:pPr>
        <w:keepNext w:val="0"/>
        <w:keepLines w:val="0"/>
        <w:pageBreakBefore w:val="0"/>
        <w:kinsoku/>
        <w:wordWrap/>
        <w:overflowPunct/>
        <w:topLinePunct w:val="0"/>
        <w:autoSpaceDE/>
        <w:autoSpaceDN/>
        <w:bidi w:val="0"/>
        <w:spacing w:line="572" w:lineRule="exact"/>
        <w:ind w:firstLine="640" w:firstLineChars="200"/>
        <w:jc w:val="left"/>
        <w:textAlignment w:val="auto"/>
        <w:outlineLvl w:val="2"/>
        <w:rPr>
          <w:rFonts w:hint="eastAsia" w:ascii="仿宋_GB2312" w:hAnsi="Calibri" w:eastAsia="仿宋_GB2312" w:cs="仿宋"/>
          <w:color w:val="auto"/>
          <w:kern w:val="0"/>
          <w:sz w:val="32"/>
          <w:szCs w:val="32"/>
          <w:lang w:val="en-US" w:eastAsia="zh-CN" w:bidi="ar-SA"/>
        </w:rPr>
      </w:pPr>
      <w:bookmarkStart w:id="111" w:name="_Toc9129"/>
      <w:r>
        <w:rPr>
          <w:rFonts w:hint="eastAsia" w:ascii="仿宋_GB2312" w:hAnsi="Calibri" w:eastAsia="仿宋_GB2312" w:cs="仿宋"/>
          <w:color w:val="auto"/>
          <w:kern w:val="0"/>
          <w:sz w:val="32"/>
          <w:szCs w:val="32"/>
          <w:lang w:val="en-US" w:eastAsia="zh-CN" w:bidi="ar-SA"/>
        </w:rPr>
        <w:t>（四）自评质量。</w:t>
      </w:r>
      <w:bookmarkEnd w:id="111"/>
    </w:p>
    <w:p w14:paraId="4A37B1DF">
      <w:pPr>
        <w:keepNext w:val="0"/>
        <w:keepLines w:val="0"/>
        <w:pageBreakBefore w:val="0"/>
        <w:kinsoku/>
        <w:wordWrap/>
        <w:overflowPunct/>
        <w:topLinePunct w:val="0"/>
        <w:autoSpaceDE/>
        <w:autoSpaceDN/>
        <w:bidi w:val="0"/>
        <w:spacing w:line="572" w:lineRule="exact"/>
        <w:ind w:firstLine="640" w:firstLineChars="200"/>
        <w:jc w:val="left"/>
        <w:textAlignment w:val="auto"/>
        <w:outlineLvl w:val="3"/>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结合我单位实际情况，部门整体支出绩效为“良”。</w:t>
      </w:r>
    </w:p>
    <w:p w14:paraId="2577E33C">
      <w:pPr>
        <w:keepNext w:val="0"/>
        <w:keepLines w:val="0"/>
        <w:pageBreakBefore w:val="0"/>
        <w:kinsoku/>
        <w:wordWrap/>
        <w:overflowPunct/>
        <w:topLinePunct w:val="0"/>
        <w:autoSpaceDE/>
        <w:autoSpaceDN/>
        <w:bidi w:val="0"/>
        <w:spacing w:line="572" w:lineRule="exact"/>
        <w:ind w:firstLine="640" w:firstLineChars="200"/>
        <w:jc w:val="left"/>
        <w:textAlignment w:val="auto"/>
        <w:outlineLvl w:val="3"/>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四、评价结论及建议</w:t>
      </w:r>
    </w:p>
    <w:p w14:paraId="0937DB03">
      <w:pPr>
        <w:keepNext w:val="0"/>
        <w:keepLines w:val="0"/>
        <w:pageBreakBefore w:val="0"/>
        <w:kinsoku/>
        <w:wordWrap/>
        <w:overflowPunct/>
        <w:topLinePunct w:val="0"/>
        <w:autoSpaceDE/>
        <w:autoSpaceDN/>
        <w:bidi w:val="0"/>
        <w:spacing w:line="572" w:lineRule="exact"/>
        <w:ind w:firstLine="640" w:firstLineChars="200"/>
        <w:jc w:val="left"/>
        <w:textAlignment w:val="auto"/>
        <w:outlineLvl w:val="2"/>
        <w:rPr>
          <w:rFonts w:hint="eastAsia" w:ascii="仿宋_GB2312" w:hAnsi="Calibri" w:eastAsia="仿宋_GB2312" w:cs="仿宋"/>
          <w:color w:val="auto"/>
          <w:kern w:val="0"/>
          <w:sz w:val="32"/>
          <w:szCs w:val="32"/>
          <w:lang w:val="en-US" w:eastAsia="zh-CN" w:bidi="ar-SA"/>
        </w:rPr>
      </w:pPr>
      <w:bookmarkStart w:id="112" w:name="_Toc11175"/>
      <w:r>
        <w:rPr>
          <w:rFonts w:hint="eastAsia" w:ascii="仿宋_GB2312" w:hAnsi="Calibri" w:eastAsia="仿宋_GB2312" w:cs="仿宋"/>
          <w:color w:val="auto"/>
          <w:kern w:val="0"/>
          <w:sz w:val="32"/>
          <w:szCs w:val="32"/>
          <w:lang w:val="en-US" w:eastAsia="zh-CN" w:bidi="ar-SA"/>
        </w:rPr>
        <w:t>（一）评价结论。</w:t>
      </w:r>
      <w:bookmarkEnd w:id="112"/>
    </w:p>
    <w:p w14:paraId="162C07B5">
      <w:pPr>
        <w:keepNext w:val="0"/>
        <w:keepLines w:val="0"/>
        <w:pageBreakBefore w:val="0"/>
        <w:kinsoku/>
        <w:wordWrap/>
        <w:overflowPunct/>
        <w:topLinePunct w:val="0"/>
        <w:autoSpaceDE/>
        <w:autoSpaceDN/>
        <w:bidi w:val="0"/>
        <w:spacing w:line="572" w:lineRule="exact"/>
        <w:ind w:firstLine="640" w:firstLineChars="200"/>
        <w:jc w:val="left"/>
        <w:textAlignment w:val="auto"/>
        <w:outlineLvl w:val="3"/>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根据部门整体支出绩效评价指标体系和绩效检查情况，综合得等次确定为“良”。</w:t>
      </w:r>
    </w:p>
    <w:p w14:paraId="6D5B5224">
      <w:pPr>
        <w:keepNext w:val="0"/>
        <w:keepLines w:val="0"/>
        <w:pageBreakBefore w:val="0"/>
        <w:kinsoku/>
        <w:wordWrap/>
        <w:overflowPunct/>
        <w:topLinePunct w:val="0"/>
        <w:autoSpaceDE/>
        <w:autoSpaceDN/>
        <w:bidi w:val="0"/>
        <w:spacing w:line="572" w:lineRule="exact"/>
        <w:ind w:firstLine="640" w:firstLineChars="200"/>
        <w:jc w:val="left"/>
        <w:textAlignment w:val="auto"/>
        <w:outlineLvl w:val="2"/>
        <w:rPr>
          <w:rFonts w:hint="eastAsia" w:ascii="仿宋_GB2312" w:hAnsi="Calibri" w:eastAsia="仿宋_GB2312" w:cs="仿宋"/>
          <w:color w:val="auto"/>
          <w:kern w:val="0"/>
          <w:sz w:val="32"/>
          <w:szCs w:val="32"/>
          <w:lang w:val="en-US" w:eastAsia="zh-CN" w:bidi="ar-SA"/>
        </w:rPr>
      </w:pPr>
      <w:bookmarkStart w:id="113" w:name="_Toc21166"/>
      <w:r>
        <w:rPr>
          <w:rFonts w:hint="eastAsia" w:ascii="仿宋_GB2312" w:hAnsi="Calibri" w:eastAsia="仿宋_GB2312" w:cs="仿宋"/>
          <w:color w:val="auto"/>
          <w:kern w:val="0"/>
          <w:sz w:val="32"/>
          <w:szCs w:val="32"/>
          <w:lang w:val="en-US" w:eastAsia="zh-CN" w:bidi="ar-SA"/>
        </w:rPr>
        <w:t>（二）存在问题。</w:t>
      </w:r>
      <w:bookmarkEnd w:id="113"/>
    </w:p>
    <w:p w14:paraId="20C07979">
      <w:pPr>
        <w:keepNext w:val="0"/>
        <w:keepLines w:val="0"/>
        <w:pageBreakBefore w:val="0"/>
        <w:kinsoku/>
        <w:wordWrap/>
        <w:overflowPunct/>
        <w:topLinePunct w:val="0"/>
        <w:autoSpaceDE/>
        <w:autoSpaceDN/>
        <w:bidi w:val="0"/>
        <w:spacing w:line="572" w:lineRule="exact"/>
        <w:ind w:firstLine="640" w:firstLineChars="200"/>
        <w:jc w:val="left"/>
        <w:textAlignment w:val="auto"/>
        <w:outlineLvl w:val="1"/>
        <w:rPr>
          <w:rFonts w:hint="eastAsia" w:ascii="仿宋_GB2312" w:hAnsi="Calibri" w:eastAsia="仿宋_GB2312" w:cs="仿宋"/>
          <w:color w:val="auto"/>
          <w:kern w:val="0"/>
          <w:sz w:val="32"/>
          <w:szCs w:val="32"/>
          <w:lang w:val="en-US" w:eastAsia="zh-CN" w:bidi="ar-SA"/>
        </w:rPr>
      </w:pPr>
      <w:bookmarkStart w:id="114" w:name="_Toc8386"/>
      <w:r>
        <w:rPr>
          <w:rFonts w:hint="eastAsia" w:ascii="仿宋_GB2312" w:hAnsi="Calibri" w:eastAsia="仿宋_GB2312" w:cs="仿宋"/>
          <w:color w:val="auto"/>
          <w:kern w:val="0"/>
          <w:sz w:val="32"/>
          <w:szCs w:val="32"/>
          <w:lang w:val="en-US" w:eastAsia="zh-CN" w:bidi="ar-SA"/>
        </w:rPr>
        <w:t>1.管理制度不完善，无绩效管理相关制度；</w:t>
      </w:r>
      <w:bookmarkEnd w:id="114"/>
    </w:p>
    <w:p w14:paraId="1CC0C55D">
      <w:pPr>
        <w:keepNext w:val="0"/>
        <w:keepLines w:val="0"/>
        <w:pageBreakBefore w:val="0"/>
        <w:kinsoku/>
        <w:wordWrap/>
        <w:overflowPunct/>
        <w:topLinePunct w:val="0"/>
        <w:autoSpaceDE/>
        <w:autoSpaceDN/>
        <w:bidi w:val="0"/>
        <w:spacing w:line="572" w:lineRule="exact"/>
        <w:ind w:firstLine="640" w:firstLineChars="200"/>
        <w:jc w:val="left"/>
        <w:textAlignment w:val="auto"/>
        <w:outlineLvl w:val="1"/>
        <w:rPr>
          <w:rFonts w:hint="eastAsia" w:ascii="仿宋_GB2312" w:hAnsi="Calibri" w:eastAsia="仿宋_GB2312" w:cs="仿宋"/>
          <w:color w:val="auto"/>
          <w:kern w:val="0"/>
          <w:sz w:val="32"/>
          <w:szCs w:val="32"/>
          <w:lang w:val="en-US" w:eastAsia="zh-CN" w:bidi="ar-SA"/>
        </w:rPr>
      </w:pPr>
      <w:bookmarkStart w:id="115" w:name="_Toc11387"/>
      <w:r>
        <w:rPr>
          <w:rFonts w:hint="eastAsia" w:ascii="仿宋_GB2312" w:hAnsi="Calibri" w:eastAsia="仿宋_GB2312" w:cs="仿宋"/>
          <w:color w:val="auto"/>
          <w:kern w:val="0"/>
          <w:sz w:val="32"/>
          <w:szCs w:val="32"/>
          <w:lang w:val="en-US" w:eastAsia="zh-CN" w:bidi="ar-SA"/>
        </w:rPr>
        <w:t>2.绩效评价工作未能全面开展宣传培训，自评覆盖率低，绩效评价质量不高。</w:t>
      </w:r>
      <w:bookmarkEnd w:id="115"/>
    </w:p>
    <w:p w14:paraId="3AEA66BE">
      <w:pPr>
        <w:keepNext w:val="0"/>
        <w:keepLines w:val="0"/>
        <w:pageBreakBefore w:val="0"/>
        <w:kinsoku/>
        <w:wordWrap/>
        <w:overflowPunct/>
        <w:topLinePunct w:val="0"/>
        <w:autoSpaceDE/>
        <w:autoSpaceDN/>
        <w:bidi w:val="0"/>
        <w:spacing w:line="572" w:lineRule="exact"/>
        <w:ind w:firstLine="640" w:firstLineChars="200"/>
        <w:jc w:val="left"/>
        <w:textAlignment w:val="auto"/>
        <w:outlineLvl w:val="2"/>
        <w:rPr>
          <w:rFonts w:hint="eastAsia" w:ascii="仿宋_GB2312" w:hAnsi="Calibri" w:eastAsia="仿宋_GB2312" w:cs="仿宋"/>
          <w:color w:val="auto"/>
          <w:kern w:val="0"/>
          <w:sz w:val="32"/>
          <w:szCs w:val="32"/>
          <w:lang w:val="en-US" w:eastAsia="zh-CN" w:bidi="ar-SA"/>
        </w:rPr>
      </w:pPr>
      <w:bookmarkStart w:id="116" w:name="_Toc10529"/>
      <w:r>
        <w:rPr>
          <w:rFonts w:hint="eastAsia" w:ascii="仿宋_GB2312" w:hAnsi="Calibri" w:eastAsia="仿宋_GB2312" w:cs="仿宋"/>
          <w:color w:val="auto"/>
          <w:kern w:val="0"/>
          <w:sz w:val="32"/>
          <w:szCs w:val="32"/>
          <w:lang w:val="en-US" w:eastAsia="zh-CN" w:bidi="ar-SA"/>
        </w:rPr>
        <w:t>（三）改进建议。</w:t>
      </w:r>
      <w:bookmarkEnd w:id="116"/>
    </w:p>
    <w:p w14:paraId="2BCBD20F">
      <w:pPr>
        <w:keepNext w:val="0"/>
        <w:keepLines w:val="0"/>
        <w:pageBreakBefore w:val="0"/>
        <w:kinsoku/>
        <w:wordWrap/>
        <w:overflowPunct/>
        <w:topLinePunct w:val="0"/>
        <w:autoSpaceDE/>
        <w:autoSpaceDN/>
        <w:bidi w:val="0"/>
        <w:spacing w:line="572" w:lineRule="exact"/>
        <w:ind w:firstLine="640" w:firstLineChars="200"/>
        <w:jc w:val="left"/>
        <w:textAlignment w:val="auto"/>
        <w:outlineLvl w:val="1"/>
        <w:rPr>
          <w:rFonts w:hint="eastAsia" w:ascii="仿宋_GB2312" w:hAnsi="Calibri" w:eastAsia="仿宋_GB2312" w:cs="仿宋"/>
          <w:color w:val="auto"/>
          <w:kern w:val="0"/>
          <w:sz w:val="32"/>
          <w:szCs w:val="32"/>
          <w:lang w:val="en-US" w:eastAsia="zh-CN" w:bidi="ar-SA"/>
        </w:rPr>
      </w:pPr>
      <w:bookmarkStart w:id="117" w:name="_Toc3754"/>
      <w:r>
        <w:rPr>
          <w:rFonts w:hint="eastAsia" w:ascii="仿宋_GB2312" w:hAnsi="Calibri" w:eastAsia="仿宋_GB2312" w:cs="仿宋"/>
          <w:color w:val="auto"/>
          <w:kern w:val="0"/>
          <w:sz w:val="32"/>
          <w:szCs w:val="32"/>
          <w:lang w:val="en-US" w:eastAsia="zh-CN" w:bidi="ar-SA"/>
        </w:rPr>
        <w:t>1.完善绩效管理管理制度，全面公开绩效信息，接受社会公众监督；</w:t>
      </w:r>
      <w:bookmarkEnd w:id="117"/>
    </w:p>
    <w:p w14:paraId="6AB3BAEB">
      <w:pPr>
        <w:keepNext w:val="0"/>
        <w:keepLines w:val="0"/>
        <w:pageBreakBefore w:val="0"/>
        <w:kinsoku/>
        <w:wordWrap/>
        <w:overflowPunct/>
        <w:topLinePunct w:val="0"/>
        <w:autoSpaceDE/>
        <w:autoSpaceDN/>
        <w:bidi w:val="0"/>
        <w:spacing w:line="572" w:lineRule="exact"/>
        <w:ind w:firstLine="640" w:firstLineChars="200"/>
        <w:jc w:val="left"/>
        <w:textAlignment w:val="auto"/>
        <w:outlineLvl w:val="9"/>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2.加强评价结果应用。对绩效好的政策和项目原则上优先保障，对绩效一般的政策和项目要督促改进。</w:t>
      </w:r>
    </w:p>
    <w:p w14:paraId="25CE46C0">
      <w:pPr>
        <w:pStyle w:val="3"/>
        <w:ind w:left="0" w:leftChars="0" w:firstLine="640" w:firstLineChars="200"/>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7C93D766">
      <w:pPr>
        <w:keepNext w:val="0"/>
        <w:keepLines w:val="0"/>
        <w:pageBreakBefore w:val="0"/>
        <w:widowControl w:val="0"/>
        <w:kinsoku/>
        <w:wordWrap/>
        <w:overflowPunct/>
        <w:topLinePunct w:val="0"/>
        <w:autoSpaceDE/>
        <w:autoSpaceDN/>
        <w:bidi w:val="0"/>
        <w:spacing w:line="578" w:lineRule="exact"/>
        <w:ind w:firstLine="640"/>
        <w:jc w:val="center"/>
        <w:textAlignment w:val="auto"/>
        <w:outlineLvl w:val="9"/>
        <w:rPr>
          <w:rFonts w:hint="eastAsia" w:ascii="Times New Roman" w:hAnsi="Times New Roman" w:eastAsia="仿宋"/>
          <w:b w:val="0"/>
          <w:color w:val="auto"/>
          <w:highlight w:val="none"/>
        </w:rPr>
      </w:pPr>
      <w:bookmarkStart w:id="118" w:name="_Toc15396618"/>
      <w:bookmarkStart w:id="119" w:name="_Toc23249"/>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88"/>
      <w:bookmarkEnd w:id="118"/>
      <w:bookmarkEnd w:id="119"/>
      <w:bookmarkStart w:id="120" w:name="_Toc15396619"/>
    </w:p>
    <w:p w14:paraId="1A88F30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1BCFEFE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120"/>
    </w:p>
    <w:p w14:paraId="39FCEBA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21" w:name="_Toc15396620"/>
      <w:r>
        <w:rPr>
          <w:rFonts w:hint="eastAsia" w:ascii="Times New Roman" w:hAnsi="Times New Roman" w:eastAsia="仿宋_GB2312" w:cs="仿宋_GB2312"/>
          <w:color w:val="auto"/>
          <w:sz w:val="32"/>
          <w:szCs w:val="32"/>
          <w:highlight w:val="none"/>
        </w:rPr>
        <w:t>二、收入决算表</w:t>
      </w:r>
      <w:bookmarkEnd w:id="121"/>
    </w:p>
    <w:p w14:paraId="5521879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22" w:name="_Toc15396621"/>
      <w:r>
        <w:rPr>
          <w:rFonts w:hint="eastAsia" w:ascii="Times New Roman" w:hAnsi="Times New Roman" w:eastAsia="仿宋_GB2312" w:cs="仿宋_GB2312"/>
          <w:color w:val="auto"/>
          <w:sz w:val="32"/>
          <w:szCs w:val="32"/>
          <w:highlight w:val="none"/>
        </w:rPr>
        <w:t>三、支出决算表</w:t>
      </w:r>
      <w:bookmarkEnd w:id="122"/>
    </w:p>
    <w:p w14:paraId="3A88C5F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23" w:name="_Toc15396622"/>
      <w:r>
        <w:rPr>
          <w:rFonts w:hint="eastAsia" w:ascii="Times New Roman" w:hAnsi="Times New Roman" w:eastAsia="仿宋_GB2312" w:cs="仿宋_GB2312"/>
          <w:color w:val="auto"/>
          <w:sz w:val="32"/>
          <w:szCs w:val="32"/>
          <w:highlight w:val="none"/>
        </w:rPr>
        <w:t>四、财政拨款收入支出决算总表</w:t>
      </w:r>
      <w:bookmarkEnd w:id="123"/>
    </w:p>
    <w:p w14:paraId="6045FBF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24" w:name="_Toc15396623"/>
      <w:r>
        <w:rPr>
          <w:rFonts w:hint="eastAsia" w:ascii="Times New Roman" w:hAnsi="Times New Roman" w:eastAsia="仿宋_GB2312" w:cs="仿宋_GB2312"/>
          <w:color w:val="auto"/>
          <w:sz w:val="32"/>
          <w:szCs w:val="32"/>
          <w:highlight w:val="none"/>
        </w:rPr>
        <w:t>五、财政拨款支出决算明细表</w:t>
      </w:r>
      <w:bookmarkEnd w:id="124"/>
      <w:bookmarkStart w:id="125" w:name="_Toc15396624"/>
    </w:p>
    <w:p w14:paraId="0B547BD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125"/>
    </w:p>
    <w:p w14:paraId="5021B44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26" w:name="_Toc15396625"/>
      <w:r>
        <w:rPr>
          <w:rFonts w:hint="eastAsia" w:ascii="Times New Roman" w:hAnsi="Times New Roman" w:eastAsia="仿宋_GB2312" w:cs="仿宋_GB2312"/>
          <w:color w:val="auto"/>
          <w:sz w:val="32"/>
          <w:szCs w:val="32"/>
          <w:highlight w:val="none"/>
        </w:rPr>
        <w:t>七、一般公共预算财政拨款支出决算明细表</w:t>
      </w:r>
      <w:bookmarkEnd w:id="126"/>
    </w:p>
    <w:p w14:paraId="385050A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27" w:name="_Toc15396626"/>
      <w:r>
        <w:rPr>
          <w:rFonts w:hint="eastAsia" w:ascii="Times New Roman" w:hAnsi="Times New Roman" w:eastAsia="仿宋_GB2312" w:cs="仿宋_GB2312"/>
          <w:color w:val="auto"/>
          <w:sz w:val="32"/>
          <w:szCs w:val="32"/>
          <w:highlight w:val="none"/>
        </w:rPr>
        <w:t>八、一般公共预算财政拨款基本支出决算表</w:t>
      </w:r>
      <w:bookmarkEnd w:id="127"/>
    </w:p>
    <w:p w14:paraId="32D50C9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28" w:name="_Toc15396627"/>
      <w:r>
        <w:rPr>
          <w:rFonts w:hint="eastAsia" w:ascii="Times New Roman" w:hAnsi="Times New Roman" w:eastAsia="仿宋_GB2312" w:cs="仿宋_GB2312"/>
          <w:color w:val="auto"/>
          <w:sz w:val="32"/>
          <w:szCs w:val="32"/>
          <w:highlight w:val="none"/>
        </w:rPr>
        <w:t>九、一般公共预算财政拨款项目支出决算表</w:t>
      </w:r>
      <w:bookmarkEnd w:id="128"/>
    </w:p>
    <w:p w14:paraId="38DED07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29" w:name="_Toc15396628"/>
      <w:r>
        <w:rPr>
          <w:rFonts w:hint="eastAsia" w:ascii="Times New Roman" w:hAnsi="Times New Roman" w:eastAsia="仿宋_GB2312" w:cs="仿宋_GB2312"/>
          <w:color w:val="auto"/>
          <w:sz w:val="32"/>
          <w:szCs w:val="32"/>
          <w:highlight w:val="none"/>
        </w:rPr>
        <w:t>十、</w:t>
      </w:r>
      <w:bookmarkEnd w:id="129"/>
      <w:r>
        <w:rPr>
          <w:rFonts w:hint="eastAsia" w:ascii="Times New Roman" w:hAnsi="Times New Roman" w:eastAsia="仿宋_GB2312" w:cs="仿宋_GB2312"/>
          <w:color w:val="auto"/>
          <w:sz w:val="32"/>
          <w:szCs w:val="32"/>
          <w:highlight w:val="none"/>
        </w:rPr>
        <w:t>政府性基金预算财政拨款收入支出决算表</w:t>
      </w:r>
    </w:p>
    <w:p w14:paraId="73DFE4E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30" w:name="_Toc15396629"/>
      <w:r>
        <w:rPr>
          <w:rFonts w:hint="eastAsia" w:ascii="Times New Roman" w:hAnsi="Times New Roman" w:eastAsia="仿宋_GB2312" w:cs="仿宋_GB2312"/>
          <w:color w:val="auto"/>
          <w:sz w:val="32"/>
          <w:szCs w:val="32"/>
          <w:highlight w:val="none"/>
        </w:rPr>
        <w:t>十一、</w:t>
      </w:r>
      <w:bookmarkEnd w:id="13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511681F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31" w:name="_Toc15396630"/>
      <w:r>
        <w:rPr>
          <w:rFonts w:hint="eastAsia" w:ascii="Times New Roman" w:hAnsi="Times New Roman" w:eastAsia="仿宋_GB2312" w:cs="仿宋_GB2312"/>
          <w:color w:val="auto"/>
          <w:sz w:val="32"/>
          <w:szCs w:val="32"/>
          <w:highlight w:val="none"/>
        </w:rPr>
        <w:t>十二、</w:t>
      </w:r>
      <w:bookmarkEnd w:id="131"/>
      <w:r>
        <w:rPr>
          <w:rFonts w:hint="eastAsia" w:ascii="Times New Roman" w:hAnsi="Times New Roman" w:eastAsia="仿宋_GB2312" w:cs="仿宋_GB2312"/>
          <w:color w:val="auto"/>
          <w:sz w:val="32"/>
          <w:szCs w:val="32"/>
          <w:highlight w:val="none"/>
          <w:lang w:eastAsia="zh-CN"/>
        </w:rPr>
        <w:t>国有资本经营预算财政拨款支出决算表</w:t>
      </w:r>
    </w:p>
    <w:p w14:paraId="44CDC86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132" w:name="_Toc15396631"/>
      <w:r>
        <w:rPr>
          <w:rFonts w:hint="eastAsia" w:ascii="Times New Roman" w:hAnsi="Times New Roman" w:eastAsia="仿宋_GB2312" w:cs="仿宋_GB2312"/>
          <w:color w:val="auto"/>
          <w:sz w:val="32"/>
          <w:szCs w:val="32"/>
          <w:highlight w:val="none"/>
        </w:rPr>
        <w:t>十三、</w:t>
      </w:r>
      <w:bookmarkEnd w:id="132"/>
      <w:r>
        <w:rPr>
          <w:rFonts w:hint="eastAsia" w:ascii="Times New Roman" w:hAnsi="Times New Roman" w:eastAsia="仿宋_GB2312" w:cs="仿宋_GB2312"/>
          <w:color w:val="auto"/>
          <w:sz w:val="32"/>
          <w:szCs w:val="32"/>
          <w:highlight w:val="none"/>
          <w:lang w:eastAsia="zh-CN"/>
        </w:rPr>
        <w:t>财政拨款“三公”经费支出决算表</w:t>
      </w:r>
    </w:p>
    <w:p w14:paraId="61FA1531">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2B16B">
    <w:pPr>
      <w:pStyle w:val="11"/>
      <w:jc w:val="center"/>
    </w:pPr>
  </w:p>
  <w:p w14:paraId="19293CF2">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A1A4E2">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49A1A4E2">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0BD07CA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C0586">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6B9B10">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116B9B10">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A8CEA">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18A09A"/>
    <w:multiLevelType w:val="singleLevel"/>
    <w:tmpl w:val="3818A0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0668B1"/>
    <w:rsid w:val="0CA8290A"/>
    <w:rsid w:val="0D35B1ED"/>
    <w:rsid w:val="0E254B6B"/>
    <w:rsid w:val="0F98263C"/>
    <w:rsid w:val="101860EC"/>
    <w:rsid w:val="101F47CC"/>
    <w:rsid w:val="10C055FF"/>
    <w:rsid w:val="11694EBD"/>
    <w:rsid w:val="11772AA4"/>
    <w:rsid w:val="118107EC"/>
    <w:rsid w:val="12650249"/>
    <w:rsid w:val="12E24EE2"/>
    <w:rsid w:val="13D50BC4"/>
    <w:rsid w:val="14B17F78"/>
    <w:rsid w:val="165E0673"/>
    <w:rsid w:val="16864C86"/>
    <w:rsid w:val="16B831D5"/>
    <w:rsid w:val="16BB723D"/>
    <w:rsid w:val="17E50567"/>
    <w:rsid w:val="186504BB"/>
    <w:rsid w:val="19A445FC"/>
    <w:rsid w:val="1B173603"/>
    <w:rsid w:val="1B4B79D3"/>
    <w:rsid w:val="1BE8440E"/>
    <w:rsid w:val="1D155CEE"/>
    <w:rsid w:val="1D1638FE"/>
    <w:rsid w:val="1E312DEB"/>
    <w:rsid w:val="1E740ACF"/>
    <w:rsid w:val="1FF35744"/>
    <w:rsid w:val="1FF6BC77"/>
    <w:rsid w:val="215948FC"/>
    <w:rsid w:val="2186353C"/>
    <w:rsid w:val="23860B96"/>
    <w:rsid w:val="240371BF"/>
    <w:rsid w:val="244F3473"/>
    <w:rsid w:val="24C97D99"/>
    <w:rsid w:val="25473008"/>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2E63566"/>
    <w:rsid w:val="44E268DA"/>
    <w:rsid w:val="450D13D7"/>
    <w:rsid w:val="45506656"/>
    <w:rsid w:val="47B515D7"/>
    <w:rsid w:val="486A6C7A"/>
    <w:rsid w:val="4A627F82"/>
    <w:rsid w:val="4B0E749A"/>
    <w:rsid w:val="4B2477C4"/>
    <w:rsid w:val="4B4F25DA"/>
    <w:rsid w:val="4BE068DB"/>
    <w:rsid w:val="4D577224"/>
    <w:rsid w:val="4DBF1CEB"/>
    <w:rsid w:val="4DF0007C"/>
    <w:rsid w:val="4EAB630A"/>
    <w:rsid w:val="4ECE2238"/>
    <w:rsid w:val="4F3B2023"/>
    <w:rsid w:val="4F833267"/>
    <w:rsid w:val="4FE9BD67"/>
    <w:rsid w:val="4FFB052F"/>
    <w:rsid w:val="51744A24"/>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E86D31"/>
    <w:rsid w:val="73FA497D"/>
    <w:rsid w:val="744731E5"/>
    <w:rsid w:val="74BBD01D"/>
    <w:rsid w:val="74ED5379"/>
    <w:rsid w:val="75DEEEC2"/>
    <w:rsid w:val="75E32345"/>
    <w:rsid w:val="76E3355F"/>
    <w:rsid w:val="76FF5125"/>
    <w:rsid w:val="776F6FFA"/>
    <w:rsid w:val="778769C8"/>
    <w:rsid w:val="77A75DCA"/>
    <w:rsid w:val="77DC22F5"/>
    <w:rsid w:val="78093839"/>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32</Words>
  <Characters>38</Characters>
  <Lines>61</Lines>
  <Paragraphs>17</Paragraphs>
  <TotalTime>0</TotalTime>
  <ScaleCrop>false</ScaleCrop>
  <LinksUpToDate>false</LinksUpToDate>
  <CharactersWithSpaces>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iGaara</cp:lastModifiedBy>
  <cp:lastPrinted>2025-08-06T17:34:00Z</cp:lastPrinted>
  <dcterms:modified xsi:type="dcterms:W3CDTF">2025-09-10T03:39:25Z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6EDA2592E3AA484E896F6F7477431866</vt:lpwstr>
  </property>
  <property fmtid="{D5CDD505-2E9C-101B-9397-08002B2CF9AE}" pid="4" name="KSOTemplateDocerSaveRecord">
    <vt:lpwstr>eyJoZGlkIjoiNDJmYmI2ZjA3OWNjMTQyOTY1YWNlMjgyOTdlZjFlM2MiLCJ1c2VySWQiOiIyNzA0NDg5MTkifQ==</vt:lpwstr>
  </property>
</Properties>
</file>