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93"/>
        <w:ind w:firstLine="3080" w:firstLineChars="700"/>
        <w:rPr>
          <w:rFonts w:ascii="方正小标宋简体" w:hAnsi="宋体" w:eastAsia="方正小标宋简体"/>
          <w:color w:val="000000"/>
          <w:sz w:val="44"/>
          <w:szCs w:val="44"/>
        </w:rPr>
      </w:pPr>
      <w:bookmarkStart w:id="0" w:name="_Toc15306267"/>
      <w:bookmarkStart w:id="1" w:name="_Toc15377426"/>
      <w:bookmarkStart w:id="2" w:name="_Toc15396476"/>
      <w:bookmarkStart w:id="3" w:name="_Toc15377194"/>
      <w:bookmarkStart w:id="4" w:name="_Toc15396598"/>
      <w:bookmarkStart w:id="5" w:name="_Toc15378442"/>
    </w:p>
    <w:p>
      <w:pPr>
        <w:pStyle w:val="9"/>
        <w:spacing w:before="93"/>
        <w:ind w:firstLine="3080" w:firstLineChars="70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2024年度</w:t>
      </w:r>
    </w:p>
    <w:p>
      <w:pPr>
        <w:pStyle w:val="9"/>
        <w:spacing w:before="93"/>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四川省</w:t>
      </w:r>
      <w:bookmarkEnd w:id="0"/>
      <w:bookmarkStart w:id="6" w:name="_Toc148972660"/>
      <w:bookmarkStart w:id="7" w:name="_Toc113474475"/>
      <w:bookmarkStart w:id="8" w:name="_Toc12305"/>
      <w:bookmarkStart w:id="9" w:name="_Toc17830"/>
      <w:bookmarkStart w:id="10" w:name="_Toc84961241"/>
      <w:bookmarkStart w:id="11" w:name="_Toc28274"/>
      <w:bookmarkStart w:id="12" w:name="_Toc7355"/>
      <w:bookmarkStart w:id="13" w:name="_Toc307"/>
      <w:bookmarkStart w:id="14" w:name="_Toc1281"/>
      <w:bookmarkStart w:id="15" w:name="_Toc15306268"/>
      <w:r>
        <w:rPr>
          <w:rFonts w:ascii="方正小标宋简体" w:hAnsi="宋体" w:eastAsia="方正小标宋简体"/>
          <w:color w:val="000000"/>
          <w:sz w:val="44"/>
          <w:szCs w:val="44"/>
        </w:rPr>
        <w:t>攀枝花市</w:t>
      </w:r>
      <w:bookmarkEnd w:id="6"/>
      <w:r>
        <w:rPr>
          <w:rFonts w:hint="eastAsia" w:ascii="方正小标宋简体" w:hAnsi="宋体" w:eastAsia="方正小标宋简体"/>
          <w:color w:val="000000"/>
          <w:sz w:val="44"/>
          <w:szCs w:val="44"/>
        </w:rPr>
        <w:t>仁和区金江中小学</w:t>
      </w:r>
      <w:bookmarkEnd w:id="7"/>
      <w:bookmarkEnd w:id="8"/>
      <w:bookmarkEnd w:id="9"/>
      <w:bookmarkEnd w:id="10"/>
      <w:bookmarkEnd w:id="11"/>
      <w:bookmarkEnd w:id="12"/>
      <w:bookmarkEnd w:id="13"/>
      <w:bookmarkEnd w:id="14"/>
    </w:p>
    <w:p>
      <w:pPr>
        <w:pStyle w:val="9"/>
        <w:spacing w:before="93"/>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部门决算</w:t>
      </w:r>
      <w:bookmarkEnd w:id="1"/>
      <w:bookmarkEnd w:id="2"/>
      <w:bookmarkEnd w:id="3"/>
      <w:bookmarkEnd w:id="4"/>
      <w:bookmarkEnd w:id="5"/>
      <w:bookmarkEnd w:id="15"/>
    </w:p>
    <w:p>
      <w:pPr>
        <w:pStyle w:val="9"/>
        <w:spacing w:before="93"/>
        <w:jc w:val="center"/>
        <w:rPr>
          <w:rFonts w:ascii="Times New Roman" w:eastAsia="方正小标宋简体"/>
          <w:kern w:val="2"/>
          <w:sz w:val="44"/>
          <w:szCs w:val="44"/>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rPr>
          <w:rFonts w:eastAsia="黑体"/>
          <w:sz w:val="48"/>
          <w:szCs w:val="48"/>
        </w:rPr>
      </w:pPr>
    </w:p>
    <w:p>
      <w:pPr>
        <w:pStyle w:val="2"/>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widowControl/>
        <w:jc w:val="center"/>
        <w:rPr>
          <w:rFonts w:ascii="黑体" w:hAnsi="黑体" w:eastAsia="黑体"/>
          <w:color w:val="000000"/>
          <w:sz w:val="48"/>
          <w:szCs w:val="48"/>
        </w:rPr>
      </w:pPr>
      <w:bookmarkStart w:id="16" w:name="_Toc15396599"/>
      <w:bookmarkStart w:id="17" w:name="_Toc15377196"/>
      <w:r>
        <w:rPr>
          <w:rFonts w:hint="eastAsia" w:ascii="黑体" w:hAnsi="黑体" w:eastAsia="黑体"/>
          <w:color w:val="000000"/>
          <w:sz w:val="48"/>
          <w:szCs w:val="48"/>
        </w:rPr>
        <w:t>目录</w:t>
      </w:r>
    </w:p>
    <w:p>
      <w:pPr>
        <w:widowControl/>
        <w:jc w:val="center"/>
        <w:rPr>
          <w:rFonts w:ascii="黑体" w:hAnsi="黑体" w:eastAsia="黑体"/>
          <w:sz w:val="28"/>
          <w:szCs w:val="28"/>
        </w:rPr>
      </w:pPr>
    </w:p>
    <w:p>
      <w:pPr>
        <w:pStyle w:val="16"/>
        <w:tabs>
          <w:tab w:val="right" w:leader="dot" w:pos="8296"/>
        </w:tabs>
        <w:spacing w:before="93" w:after="160" w:line="278" w:lineRule="auto"/>
        <w:jc w:val="center"/>
        <w:rPr>
          <w:rFonts w:ascii="仿宋" w:hAnsi="仿宋" w:eastAsia="仿宋" w:cs="Times New Roman"/>
          <w:b w:val="0"/>
          <w:bCs w:val="0"/>
          <w:caps w:val="0"/>
          <w:sz w:val="28"/>
          <w:szCs w:val="28"/>
        </w:rPr>
      </w:pPr>
      <w:r>
        <w:rPr>
          <w:rFonts w:hint="eastAsia" w:ascii="仿宋" w:hAnsi="仿宋" w:eastAsia="仿宋" w:cs="Times New Roman"/>
          <w:b w:val="0"/>
          <w:bCs w:val="0"/>
          <w:caps w:val="0"/>
          <w:sz w:val="28"/>
          <w:szCs w:val="28"/>
        </w:rPr>
        <w:t>公开时间：</w:t>
      </w:r>
      <w:r>
        <w:rPr>
          <w:rFonts w:ascii="仿宋" w:hAnsi="仿宋" w:eastAsia="仿宋" w:cs="Times New Roman"/>
          <w:b w:val="0"/>
          <w:bCs w:val="0"/>
          <w:caps w:val="0"/>
          <w:sz w:val="28"/>
          <w:szCs w:val="28"/>
        </w:rPr>
        <w:t>202</w:t>
      </w:r>
      <w:r>
        <w:rPr>
          <w:rFonts w:hint="eastAsia" w:ascii="仿宋" w:hAnsi="仿宋" w:eastAsia="仿宋" w:cs="Times New Roman"/>
          <w:b w:val="0"/>
          <w:bCs w:val="0"/>
          <w:caps w:val="0"/>
          <w:sz w:val="28"/>
          <w:szCs w:val="28"/>
        </w:rPr>
        <w:t>5年9月18 日</w:t>
      </w:r>
    </w:p>
    <w:p>
      <w:pPr>
        <w:pStyle w:val="2"/>
      </w:pPr>
    </w:p>
    <w:p>
      <w:pPr>
        <w:pStyle w:val="16"/>
        <w:tabs>
          <w:tab w:val="right" w:leader="dot" w:pos="8296"/>
        </w:tabs>
        <w:rPr>
          <w:rFonts w:eastAsiaTheme="minorEastAsia" w:cstheme="minorBidi"/>
          <w:b w:val="0"/>
          <w:bCs w:val="0"/>
          <w:caps w:val="0"/>
          <w:sz w:val="22"/>
          <w:szCs w:val="24"/>
        </w:rPr>
      </w:pPr>
      <w:r>
        <w:fldChar w:fldCharType="begin"/>
      </w:r>
      <w:r>
        <w:rPr>
          <w:rFonts w:hint="eastAsia"/>
        </w:rPr>
        <w:instrText xml:space="preserve">TOC \o "1-2" \h \z \u</w:instrText>
      </w:r>
      <w:r>
        <w:fldChar w:fldCharType="separate"/>
      </w:r>
      <w:r>
        <w:fldChar w:fldCharType="begin"/>
      </w:r>
      <w:r>
        <w:instrText xml:space="preserve"> HYPERLINK \l "_Toc208087279" </w:instrText>
      </w:r>
      <w:r>
        <w:fldChar w:fldCharType="separate"/>
      </w:r>
      <w:r>
        <w:rPr>
          <w:rStyle w:val="24"/>
          <w:rFonts w:hint="eastAsia" w:ascii="仿宋" w:hAnsi="仿宋" w:eastAsia="黑体" w:cs="Times New Roman"/>
          <w:b w:val="0"/>
          <w:bCs w:val="0"/>
          <w:caps w:val="0"/>
          <w:color w:val="000000" w:themeColor="text1"/>
          <w:sz w:val="24"/>
          <w:szCs w:val="24"/>
        </w:rPr>
        <w:t>第一部分部门概况</w:t>
      </w:r>
      <w:r>
        <w:rPr>
          <w:rFonts w:hint="eastAsia"/>
        </w:rPr>
        <w:tab/>
      </w:r>
      <w:r>
        <w:rPr>
          <w:rFonts w:hint="eastAsia"/>
        </w:rPr>
        <w:fldChar w:fldCharType="begin"/>
      </w:r>
      <w:r>
        <w:instrText xml:space="preserve">PAGEREF _Toc208087279 \h</w:instrText>
      </w:r>
      <w:r>
        <w:rPr>
          <w:rFonts w:hint="eastAsia"/>
        </w:rPr>
        <w:fldChar w:fldCharType="separate"/>
      </w:r>
      <w:r>
        <w:t>3</w:t>
      </w:r>
      <w:r>
        <w:rPr>
          <w:rFonts w:hint="eastAsia"/>
        </w:rPr>
        <w:fldChar w:fldCharType="end"/>
      </w:r>
      <w:r>
        <w:rPr>
          <w:rFonts w:hint="eastAsia"/>
        </w:rPr>
        <w:fldChar w:fldCharType="end"/>
      </w:r>
    </w:p>
    <w:p>
      <w:pPr>
        <w:pStyle w:val="19"/>
        <w:tabs>
          <w:tab w:val="right" w:leader="dot" w:pos="8296"/>
        </w:tabs>
        <w:rPr>
          <w:rStyle w:val="24"/>
          <w:rFonts w:ascii="仿宋" w:hAnsi="Times New Roman" w:eastAsia="仿宋" w:cs="仿宋"/>
          <w:color w:val="000000" w:themeColor="text1"/>
          <w:sz w:val="24"/>
        </w:rPr>
      </w:pPr>
      <w:r>
        <w:fldChar w:fldCharType="begin"/>
      </w:r>
      <w:r>
        <w:instrText xml:space="preserve"> HYPERLINK \l "_Toc208087280" </w:instrText>
      </w:r>
      <w:r>
        <w:fldChar w:fldCharType="separate"/>
      </w:r>
      <w:r>
        <w:rPr>
          <w:rStyle w:val="24"/>
          <w:rFonts w:hint="eastAsia" w:ascii="仿宋" w:hAnsi="Times New Roman" w:eastAsia="仿宋" w:cs="仿宋"/>
          <w:smallCaps w:val="0"/>
          <w:color w:val="000000" w:themeColor="text1"/>
          <w:sz w:val="24"/>
          <w:szCs w:val="24"/>
        </w:rPr>
        <w:t>一、部门职责</w:t>
      </w:r>
      <w:r>
        <w:rPr>
          <w:rStyle w:val="24"/>
          <w:rFonts w:hint="eastAsia" w:ascii="仿宋" w:hAnsi="Times New Roman" w:eastAsia="仿宋" w:cs="仿宋"/>
          <w:smallCaps w:val="0"/>
          <w:color w:val="000000" w:themeColor="text1"/>
          <w:sz w:val="24"/>
          <w:szCs w:val="24"/>
        </w:rPr>
        <w:tab/>
      </w:r>
      <w:r>
        <w:rPr>
          <w:rStyle w:val="24"/>
          <w:rFonts w:hint="eastAsia" w:ascii="仿宋" w:hAnsi="Times New Roman" w:eastAsia="仿宋" w:cs="仿宋"/>
          <w:smallCaps w:val="0"/>
          <w:color w:val="000000" w:themeColor="text1"/>
          <w:sz w:val="24"/>
          <w:szCs w:val="24"/>
        </w:rPr>
        <w:fldChar w:fldCharType="begin"/>
      </w:r>
      <w:r>
        <w:rPr>
          <w:rStyle w:val="24"/>
          <w:rFonts w:ascii="仿宋" w:hAnsi="Times New Roman" w:eastAsia="仿宋" w:cs="仿宋"/>
          <w:smallCaps w:val="0"/>
          <w:color w:val="000000" w:themeColor="text1"/>
          <w:sz w:val="24"/>
          <w:szCs w:val="24"/>
        </w:rPr>
        <w:instrText xml:space="preserve">PAGEREF _Toc208087280 \h</w:instrText>
      </w:r>
      <w:r>
        <w:rPr>
          <w:rStyle w:val="24"/>
          <w:rFonts w:hint="eastAsia" w:ascii="仿宋" w:hAnsi="Times New Roman" w:eastAsia="仿宋" w:cs="仿宋"/>
          <w:smallCaps w:val="0"/>
          <w:color w:val="000000" w:themeColor="text1"/>
          <w:sz w:val="24"/>
          <w:szCs w:val="24"/>
        </w:rPr>
        <w:fldChar w:fldCharType="separate"/>
      </w:r>
      <w:r>
        <w:rPr>
          <w:rStyle w:val="24"/>
          <w:rFonts w:ascii="仿宋" w:hAnsi="Times New Roman" w:eastAsia="仿宋" w:cs="仿宋"/>
          <w:smallCaps w:val="0"/>
          <w:color w:val="000000" w:themeColor="text1"/>
          <w:sz w:val="24"/>
          <w:szCs w:val="24"/>
        </w:rPr>
        <w:t>3</w:t>
      </w:r>
      <w:r>
        <w:rPr>
          <w:rStyle w:val="24"/>
          <w:rFonts w:hint="eastAsia" w:ascii="仿宋" w:hAnsi="Times New Roman" w:eastAsia="仿宋" w:cs="仿宋"/>
          <w:smallCaps w:val="0"/>
          <w:color w:val="000000" w:themeColor="text1"/>
          <w:sz w:val="24"/>
          <w:szCs w:val="24"/>
        </w:rPr>
        <w:fldChar w:fldCharType="end"/>
      </w:r>
      <w:r>
        <w:rPr>
          <w:rStyle w:val="24"/>
          <w:rFonts w:hint="eastAsia" w:ascii="仿宋" w:hAnsi="Times New Roman" w:eastAsia="仿宋" w:cs="仿宋"/>
          <w:smallCaps w:val="0"/>
          <w:color w:val="000000" w:themeColor="text1"/>
          <w:sz w:val="24"/>
          <w:szCs w:val="24"/>
        </w:rPr>
        <w:fldChar w:fldCharType="end"/>
      </w:r>
    </w:p>
    <w:p>
      <w:pPr>
        <w:pStyle w:val="19"/>
        <w:tabs>
          <w:tab w:val="right" w:leader="dot" w:pos="8296"/>
        </w:tabs>
        <w:rPr>
          <w:rStyle w:val="24"/>
          <w:rFonts w:ascii="仿宋" w:hAnsi="Times New Roman" w:eastAsia="仿宋" w:cs="仿宋"/>
          <w:color w:val="000000" w:themeColor="text1"/>
          <w:sz w:val="24"/>
        </w:rPr>
      </w:pPr>
      <w:r>
        <w:fldChar w:fldCharType="begin"/>
      </w:r>
      <w:r>
        <w:instrText xml:space="preserve"> HYPERLINK \l "_Toc208087281" </w:instrText>
      </w:r>
      <w:r>
        <w:fldChar w:fldCharType="separate"/>
      </w:r>
      <w:r>
        <w:rPr>
          <w:rStyle w:val="24"/>
          <w:rFonts w:hint="eastAsia" w:ascii="仿宋" w:hAnsi="Times New Roman" w:eastAsia="仿宋" w:cs="仿宋"/>
          <w:smallCaps w:val="0"/>
          <w:color w:val="000000" w:themeColor="text1"/>
          <w:sz w:val="24"/>
          <w:szCs w:val="24"/>
        </w:rPr>
        <w:t>二、机构设置</w:t>
      </w:r>
      <w:r>
        <w:rPr>
          <w:rStyle w:val="24"/>
          <w:rFonts w:hint="eastAsia" w:ascii="仿宋" w:hAnsi="Times New Roman" w:eastAsia="仿宋" w:cs="仿宋"/>
          <w:smallCaps w:val="0"/>
          <w:color w:val="000000" w:themeColor="text1"/>
          <w:sz w:val="24"/>
          <w:szCs w:val="24"/>
        </w:rPr>
        <w:tab/>
      </w:r>
      <w:r>
        <w:rPr>
          <w:rStyle w:val="24"/>
          <w:rFonts w:hint="eastAsia" w:ascii="仿宋" w:hAnsi="Times New Roman" w:eastAsia="仿宋" w:cs="仿宋"/>
          <w:smallCaps w:val="0"/>
          <w:color w:val="000000" w:themeColor="text1"/>
          <w:sz w:val="24"/>
          <w:szCs w:val="24"/>
        </w:rPr>
        <w:fldChar w:fldCharType="begin"/>
      </w:r>
      <w:r>
        <w:rPr>
          <w:rStyle w:val="24"/>
          <w:rFonts w:ascii="仿宋" w:hAnsi="Times New Roman" w:eastAsia="仿宋" w:cs="仿宋"/>
          <w:smallCaps w:val="0"/>
          <w:color w:val="000000" w:themeColor="text1"/>
          <w:sz w:val="24"/>
          <w:szCs w:val="24"/>
        </w:rPr>
        <w:instrText xml:space="preserve">PAGEREF _Toc208087281 \h</w:instrText>
      </w:r>
      <w:r>
        <w:rPr>
          <w:rStyle w:val="24"/>
          <w:rFonts w:hint="eastAsia" w:ascii="仿宋" w:hAnsi="Times New Roman" w:eastAsia="仿宋" w:cs="仿宋"/>
          <w:smallCaps w:val="0"/>
          <w:color w:val="000000" w:themeColor="text1"/>
          <w:sz w:val="24"/>
          <w:szCs w:val="24"/>
        </w:rPr>
        <w:fldChar w:fldCharType="separate"/>
      </w:r>
      <w:r>
        <w:rPr>
          <w:rStyle w:val="24"/>
          <w:rFonts w:ascii="仿宋" w:hAnsi="Times New Roman" w:eastAsia="仿宋" w:cs="仿宋"/>
          <w:smallCaps w:val="0"/>
          <w:color w:val="000000" w:themeColor="text1"/>
          <w:sz w:val="24"/>
          <w:szCs w:val="24"/>
        </w:rPr>
        <w:t>3</w:t>
      </w:r>
      <w:r>
        <w:rPr>
          <w:rStyle w:val="24"/>
          <w:rFonts w:hint="eastAsia" w:ascii="仿宋" w:hAnsi="Times New Roman" w:eastAsia="仿宋" w:cs="仿宋"/>
          <w:smallCaps w:val="0"/>
          <w:color w:val="000000" w:themeColor="text1"/>
          <w:sz w:val="24"/>
          <w:szCs w:val="24"/>
        </w:rPr>
        <w:fldChar w:fldCharType="end"/>
      </w:r>
      <w:r>
        <w:rPr>
          <w:rStyle w:val="24"/>
          <w:rFonts w:hint="eastAsia" w:ascii="仿宋" w:hAnsi="Times New Roman" w:eastAsia="仿宋" w:cs="仿宋"/>
          <w:smallCaps w:val="0"/>
          <w:color w:val="000000" w:themeColor="text1"/>
          <w:sz w:val="24"/>
          <w:szCs w:val="24"/>
        </w:rPr>
        <w:fldChar w:fldCharType="end"/>
      </w:r>
    </w:p>
    <w:p>
      <w:pPr>
        <w:pStyle w:val="16"/>
        <w:tabs>
          <w:tab w:val="right" w:leader="dot" w:pos="8296"/>
        </w:tabs>
        <w:rPr>
          <w:rStyle w:val="24"/>
          <w:rFonts w:ascii="仿宋" w:hAnsi="仿宋" w:eastAsia="黑体" w:cs="Times New Roman"/>
          <w:color w:val="000000" w:themeColor="text1"/>
          <w:sz w:val="24"/>
        </w:rPr>
      </w:pPr>
      <w:r>
        <w:fldChar w:fldCharType="begin"/>
      </w:r>
      <w:r>
        <w:instrText xml:space="preserve"> HYPERLINK \l "_Toc208087282" </w:instrText>
      </w:r>
      <w:r>
        <w:fldChar w:fldCharType="separate"/>
      </w:r>
      <w:r>
        <w:rPr>
          <w:rStyle w:val="24"/>
          <w:rFonts w:hint="eastAsia" w:ascii="仿宋" w:hAnsi="仿宋" w:eastAsia="黑体" w:cs="Times New Roman"/>
          <w:b w:val="0"/>
          <w:bCs w:val="0"/>
          <w:caps w:val="0"/>
          <w:color w:val="000000" w:themeColor="text1"/>
          <w:sz w:val="24"/>
          <w:szCs w:val="24"/>
        </w:rPr>
        <w:t>第二部分2024年度部门决算情况说明</w:t>
      </w:r>
      <w:r>
        <w:rPr>
          <w:rStyle w:val="24"/>
          <w:rFonts w:hint="eastAsia" w:ascii="仿宋" w:hAnsi="仿宋" w:eastAsia="黑体" w:cs="Times New Roman"/>
          <w:b w:val="0"/>
          <w:bCs w:val="0"/>
          <w:caps w:val="0"/>
          <w:color w:val="000000" w:themeColor="text1"/>
          <w:sz w:val="24"/>
          <w:szCs w:val="24"/>
        </w:rPr>
        <w:tab/>
      </w:r>
      <w:r>
        <w:rPr>
          <w:rStyle w:val="24"/>
          <w:rFonts w:hint="eastAsia" w:ascii="仿宋" w:hAnsi="仿宋" w:eastAsia="黑体" w:cs="Times New Roman"/>
          <w:b w:val="0"/>
          <w:bCs w:val="0"/>
          <w:caps w:val="0"/>
          <w:color w:val="000000" w:themeColor="text1"/>
          <w:sz w:val="24"/>
          <w:szCs w:val="24"/>
        </w:rPr>
        <w:fldChar w:fldCharType="begin"/>
      </w:r>
      <w:r>
        <w:rPr>
          <w:rStyle w:val="24"/>
          <w:rFonts w:ascii="仿宋" w:hAnsi="仿宋" w:eastAsia="黑体" w:cs="Times New Roman"/>
          <w:b w:val="0"/>
          <w:bCs w:val="0"/>
          <w:caps w:val="0"/>
          <w:color w:val="000000" w:themeColor="text1"/>
          <w:sz w:val="24"/>
          <w:szCs w:val="24"/>
        </w:rPr>
        <w:instrText xml:space="preserve">PAGEREF _Toc208087282 \h</w:instrText>
      </w:r>
      <w:r>
        <w:rPr>
          <w:rStyle w:val="24"/>
          <w:rFonts w:hint="eastAsia" w:ascii="仿宋" w:hAnsi="仿宋" w:eastAsia="黑体" w:cs="Times New Roman"/>
          <w:b w:val="0"/>
          <w:bCs w:val="0"/>
          <w:caps w:val="0"/>
          <w:color w:val="000000" w:themeColor="text1"/>
          <w:sz w:val="24"/>
          <w:szCs w:val="24"/>
        </w:rPr>
        <w:fldChar w:fldCharType="separate"/>
      </w:r>
      <w:r>
        <w:rPr>
          <w:rStyle w:val="24"/>
          <w:rFonts w:ascii="仿宋" w:hAnsi="仿宋" w:eastAsia="黑体" w:cs="Times New Roman"/>
          <w:b w:val="0"/>
          <w:bCs w:val="0"/>
          <w:caps w:val="0"/>
          <w:color w:val="000000" w:themeColor="text1"/>
          <w:sz w:val="24"/>
          <w:szCs w:val="24"/>
        </w:rPr>
        <w:t>4</w:t>
      </w:r>
      <w:r>
        <w:rPr>
          <w:rStyle w:val="24"/>
          <w:rFonts w:hint="eastAsia" w:ascii="仿宋" w:hAnsi="仿宋" w:eastAsia="黑体" w:cs="Times New Roman"/>
          <w:b w:val="0"/>
          <w:bCs w:val="0"/>
          <w:caps w:val="0"/>
          <w:color w:val="000000" w:themeColor="text1"/>
          <w:sz w:val="24"/>
          <w:szCs w:val="24"/>
        </w:rPr>
        <w:fldChar w:fldCharType="end"/>
      </w:r>
      <w:r>
        <w:rPr>
          <w:rStyle w:val="24"/>
          <w:rFonts w:hint="eastAsia" w:ascii="仿宋" w:hAnsi="仿宋" w:eastAsia="黑体" w:cs="Times New Roman"/>
          <w:b w:val="0"/>
          <w:bCs w:val="0"/>
          <w:caps w:val="0"/>
          <w:color w:val="000000" w:themeColor="text1"/>
          <w:sz w:val="24"/>
          <w:szCs w:val="24"/>
        </w:rPr>
        <w:fldChar w:fldCharType="end"/>
      </w:r>
    </w:p>
    <w:p>
      <w:pPr>
        <w:pStyle w:val="19"/>
        <w:tabs>
          <w:tab w:val="right" w:leader="dot" w:pos="8296"/>
        </w:tabs>
        <w:rPr>
          <w:rStyle w:val="24"/>
          <w:rFonts w:ascii="仿宋" w:hAnsi="Times New Roman" w:eastAsia="仿宋" w:cs="仿宋"/>
          <w:color w:val="000000" w:themeColor="text1"/>
          <w:sz w:val="24"/>
        </w:rPr>
      </w:pPr>
      <w:r>
        <w:fldChar w:fldCharType="begin"/>
      </w:r>
      <w:r>
        <w:instrText xml:space="preserve"> HYPERLINK \l "_Toc208087283" </w:instrText>
      </w:r>
      <w:r>
        <w:fldChar w:fldCharType="separate"/>
      </w:r>
      <w:r>
        <w:rPr>
          <w:rStyle w:val="24"/>
          <w:rFonts w:hint="eastAsia" w:ascii="仿宋" w:hAnsi="Times New Roman" w:eastAsia="仿宋" w:cs="仿宋"/>
          <w:smallCaps w:val="0"/>
          <w:color w:val="000000" w:themeColor="text1"/>
          <w:sz w:val="24"/>
          <w:szCs w:val="24"/>
        </w:rPr>
        <w:t>一、收入支出决算总体情况说明</w:t>
      </w:r>
      <w:r>
        <w:rPr>
          <w:rStyle w:val="24"/>
          <w:rFonts w:hint="eastAsia" w:ascii="仿宋" w:hAnsi="Times New Roman" w:eastAsia="仿宋" w:cs="仿宋"/>
          <w:smallCaps w:val="0"/>
          <w:color w:val="000000" w:themeColor="text1"/>
          <w:sz w:val="24"/>
          <w:szCs w:val="24"/>
        </w:rPr>
        <w:tab/>
      </w:r>
      <w:r>
        <w:rPr>
          <w:rStyle w:val="24"/>
          <w:rFonts w:hint="eastAsia" w:ascii="仿宋" w:hAnsi="Times New Roman" w:eastAsia="仿宋" w:cs="仿宋"/>
          <w:smallCaps w:val="0"/>
          <w:color w:val="000000" w:themeColor="text1"/>
          <w:sz w:val="24"/>
          <w:szCs w:val="24"/>
        </w:rPr>
        <w:fldChar w:fldCharType="begin"/>
      </w:r>
      <w:r>
        <w:rPr>
          <w:rStyle w:val="24"/>
          <w:rFonts w:ascii="仿宋" w:hAnsi="Times New Roman" w:eastAsia="仿宋" w:cs="仿宋"/>
          <w:smallCaps w:val="0"/>
          <w:color w:val="000000" w:themeColor="text1"/>
          <w:sz w:val="24"/>
          <w:szCs w:val="24"/>
        </w:rPr>
        <w:instrText xml:space="preserve">PAGEREF _Toc208087283 \h</w:instrText>
      </w:r>
      <w:r>
        <w:rPr>
          <w:rStyle w:val="24"/>
          <w:rFonts w:hint="eastAsia" w:ascii="仿宋" w:hAnsi="Times New Roman" w:eastAsia="仿宋" w:cs="仿宋"/>
          <w:smallCaps w:val="0"/>
          <w:color w:val="000000" w:themeColor="text1"/>
          <w:sz w:val="24"/>
          <w:szCs w:val="24"/>
        </w:rPr>
        <w:fldChar w:fldCharType="separate"/>
      </w:r>
      <w:r>
        <w:rPr>
          <w:rStyle w:val="24"/>
          <w:rFonts w:ascii="仿宋" w:hAnsi="Times New Roman" w:eastAsia="仿宋" w:cs="仿宋"/>
          <w:smallCaps w:val="0"/>
          <w:color w:val="000000" w:themeColor="text1"/>
          <w:sz w:val="24"/>
          <w:szCs w:val="24"/>
        </w:rPr>
        <w:t>4</w:t>
      </w:r>
      <w:r>
        <w:rPr>
          <w:rStyle w:val="24"/>
          <w:rFonts w:hint="eastAsia" w:ascii="仿宋" w:hAnsi="Times New Roman" w:eastAsia="仿宋" w:cs="仿宋"/>
          <w:smallCaps w:val="0"/>
          <w:color w:val="000000" w:themeColor="text1"/>
          <w:sz w:val="24"/>
          <w:szCs w:val="24"/>
        </w:rPr>
        <w:fldChar w:fldCharType="end"/>
      </w:r>
      <w:r>
        <w:rPr>
          <w:rStyle w:val="24"/>
          <w:rFonts w:hint="eastAsia" w:ascii="仿宋" w:hAnsi="Times New Roman" w:eastAsia="仿宋" w:cs="仿宋"/>
          <w:smallCaps w:val="0"/>
          <w:color w:val="000000" w:themeColor="text1"/>
          <w:sz w:val="24"/>
          <w:szCs w:val="24"/>
        </w:rPr>
        <w:fldChar w:fldCharType="end"/>
      </w:r>
    </w:p>
    <w:p>
      <w:pPr>
        <w:pStyle w:val="19"/>
        <w:tabs>
          <w:tab w:val="right" w:leader="dot" w:pos="8296"/>
        </w:tabs>
        <w:rPr>
          <w:rStyle w:val="24"/>
          <w:rFonts w:ascii="仿宋" w:hAnsi="Times New Roman" w:eastAsia="仿宋" w:cs="仿宋"/>
          <w:color w:val="000000" w:themeColor="text1"/>
          <w:sz w:val="24"/>
        </w:rPr>
      </w:pPr>
      <w:r>
        <w:fldChar w:fldCharType="begin"/>
      </w:r>
      <w:r>
        <w:instrText xml:space="preserve"> HYPERLINK \l "_Toc208087284" </w:instrText>
      </w:r>
      <w:r>
        <w:fldChar w:fldCharType="separate"/>
      </w:r>
      <w:r>
        <w:rPr>
          <w:rStyle w:val="24"/>
          <w:rFonts w:hint="eastAsia" w:ascii="仿宋" w:hAnsi="Times New Roman" w:eastAsia="仿宋" w:cs="仿宋"/>
          <w:smallCaps w:val="0"/>
          <w:color w:val="000000" w:themeColor="text1"/>
          <w:sz w:val="24"/>
          <w:szCs w:val="24"/>
        </w:rPr>
        <w:t>二、收入决算情况说明</w:t>
      </w:r>
      <w:r>
        <w:rPr>
          <w:rStyle w:val="24"/>
          <w:rFonts w:hint="eastAsia" w:ascii="仿宋" w:hAnsi="Times New Roman" w:eastAsia="仿宋" w:cs="仿宋"/>
          <w:smallCaps w:val="0"/>
          <w:color w:val="000000" w:themeColor="text1"/>
          <w:sz w:val="24"/>
          <w:szCs w:val="24"/>
        </w:rPr>
        <w:tab/>
      </w:r>
      <w:r>
        <w:rPr>
          <w:rStyle w:val="24"/>
          <w:rFonts w:hint="eastAsia" w:ascii="仿宋" w:hAnsi="Times New Roman" w:eastAsia="仿宋" w:cs="仿宋"/>
          <w:smallCaps w:val="0"/>
          <w:color w:val="000000" w:themeColor="text1"/>
          <w:sz w:val="24"/>
          <w:szCs w:val="24"/>
        </w:rPr>
        <w:fldChar w:fldCharType="begin"/>
      </w:r>
      <w:r>
        <w:rPr>
          <w:rStyle w:val="24"/>
          <w:rFonts w:ascii="仿宋" w:hAnsi="Times New Roman" w:eastAsia="仿宋" w:cs="仿宋"/>
          <w:smallCaps w:val="0"/>
          <w:color w:val="000000" w:themeColor="text1"/>
          <w:sz w:val="24"/>
          <w:szCs w:val="24"/>
        </w:rPr>
        <w:instrText xml:space="preserve">PAGEREF _Toc208087284 \h</w:instrText>
      </w:r>
      <w:r>
        <w:rPr>
          <w:rStyle w:val="24"/>
          <w:rFonts w:hint="eastAsia" w:ascii="仿宋" w:hAnsi="Times New Roman" w:eastAsia="仿宋" w:cs="仿宋"/>
          <w:smallCaps w:val="0"/>
          <w:color w:val="000000" w:themeColor="text1"/>
          <w:sz w:val="24"/>
          <w:szCs w:val="24"/>
        </w:rPr>
        <w:fldChar w:fldCharType="separate"/>
      </w:r>
      <w:r>
        <w:rPr>
          <w:rStyle w:val="24"/>
          <w:rFonts w:ascii="仿宋" w:hAnsi="Times New Roman" w:eastAsia="仿宋" w:cs="仿宋"/>
          <w:smallCaps w:val="0"/>
          <w:color w:val="000000" w:themeColor="text1"/>
          <w:sz w:val="24"/>
          <w:szCs w:val="24"/>
        </w:rPr>
        <w:t>4</w:t>
      </w:r>
      <w:r>
        <w:rPr>
          <w:rStyle w:val="24"/>
          <w:rFonts w:hint="eastAsia" w:ascii="仿宋" w:hAnsi="Times New Roman" w:eastAsia="仿宋" w:cs="仿宋"/>
          <w:smallCaps w:val="0"/>
          <w:color w:val="000000" w:themeColor="text1"/>
          <w:sz w:val="24"/>
          <w:szCs w:val="24"/>
        </w:rPr>
        <w:fldChar w:fldCharType="end"/>
      </w:r>
      <w:r>
        <w:rPr>
          <w:rStyle w:val="24"/>
          <w:rFonts w:hint="eastAsia" w:ascii="仿宋" w:hAnsi="Times New Roman" w:eastAsia="仿宋" w:cs="仿宋"/>
          <w:smallCaps w:val="0"/>
          <w:color w:val="000000" w:themeColor="text1"/>
          <w:sz w:val="24"/>
          <w:szCs w:val="24"/>
        </w:rPr>
        <w:fldChar w:fldCharType="end"/>
      </w:r>
    </w:p>
    <w:p>
      <w:pPr>
        <w:pStyle w:val="19"/>
        <w:tabs>
          <w:tab w:val="right" w:leader="dot" w:pos="8296"/>
        </w:tabs>
        <w:rPr>
          <w:rStyle w:val="24"/>
          <w:rFonts w:ascii="仿宋" w:hAnsi="Times New Roman" w:eastAsia="仿宋" w:cs="仿宋"/>
          <w:color w:val="000000" w:themeColor="text1"/>
          <w:sz w:val="24"/>
        </w:rPr>
      </w:pPr>
      <w:r>
        <w:fldChar w:fldCharType="begin"/>
      </w:r>
      <w:r>
        <w:instrText xml:space="preserve"> HYPERLINK \l "_Toc208087285" </w:instrText>
      </w:r>
      <w:r>
        <w:fldChar w:fldCharType="separate"/>
      </w:r>
      <w:r>
        <w:rPr>
          <w:rStyle w:val="24"/>
          <w:rFonts w:hint="eastAsia" w:ascii="仿宋" w:hAnsi="Times New Roman" w:eastAsia="仿宋" w:cs="仿宋"/>
          <w:smallCaps w:val="0"/>
          <w:color w:val="000000" w:themeColor="text1"/>
          <w:sz w:val="24"/>
          <w:szCs w:val="24"/>
        </w:rPr>
        <w:t>三、支出决算情况说明</w:t>
      </w:r>
      <w:r>
        <w:rPr>
          <w:rStyle w:val="24"/>
          <w:rFonts w:hint="eastAsia" w:ascii="仿宋" w:hAnsi="Times New Roman" w:eastAsia="仿宋" w:cs="仿宋"/>
          <w:smallCaps w:val="0"/>
          <w:color w:val="000000" w:themeColor="text1"/>
          <w:sz w:val="24"/>
          <w:szCs w:val="24"/>
        </w:rPr>
        <w:tab/>
      </w:r>
      <w:r>
        <w:rPr>
          <w:rStyle w:val="24"/>
          <w:rFonts w:hint="eastAsia" w:ascii="仿宋" w:hAnsi="Times New Roman" w:eastAsia="仿宋" w:cs="仿宋"/>
          <w:smallCaps w:val="0"/>
          <w:color w:val="000000" w:themeColor="text1"/>
          <w:sz w:val="24"/>
          <w:szCs w:val="24"/>
        </w:rPr>
        <w:fldChar w:fldCharType="begin"/>
      </w:r>
      <w:r>
        <w:rPr>
          <w:rStyle w:val="24"/>
          <w:rFonts w:ascii="仿宋" w:hAnsi="Times New Roman" w:eastAsia="仿宋" w:cs="仿宋"/>
          <w:smallCaps w:val="0"/>
          <w:color w:val="000000" w:themeColor="text1"/>
          <w:sz w:val="24"/>
          <w:szCs w:val="24"/>
        </w:rPr>
        <w:instrText xml:space="preserve">PAGEREF _Toc208087285 \h</w:instrText>
      </w:r>
      <w:r>
        <w:rPr>
          <w:rStyle w:val="24"/>
          <w:rFonts w:hint="eastAsia" w:ascii="仿宋" w:hAnsi="Times New Roman" w:eastAsia="仿宋" w:cs="仿宋"/>
          <w:smallCaps w:val="0"/>
          <w:color w:val="000000" w:themeColor="text1"/>
          <w:sz w:val="24"/>
          <w:szCs w:val="24"/>
        </w:rPr>
        <w:fldChar w:fldCharType="separate"/>
      </w:r>
      <w:r>
        <w:rPr>
          <w:rStyle w:val="24"/>
          <w:rFonts w:ascii="仿宋" w:hAnsi="Times New Roman" w:eastAsia="仿宋" w:cs="仿宋"/>
          <w:smallCaps w:val="0"/>
          <w:color w:val="000000" w:themeColor="text1"/>
          <w:sz w:val="24"/>
          <w:szCs w:val="24"/>
        </w:rPr>
        <w:t>5</w:t>
      </w:r>
      <w:r>
        <w:rPr>
          <w:rStyle w:val="24"/>
          <w:rFonts w:hint="eastAsia" w:ascii="仿宋" w:hAnsi="Times New Roman" w:eastAsia="仿宋" w:cs="仿宋"/>
          <w:smallCaps w:val="0"/>
          <w:color w:val="000000" w:themeColor="text1"/>
          <w:sz w:val="24"/>
          <w:szCs w:val="24"/>
        </w:rPr>
        <w:fldChar w:fldCharType="end"/>
      </w:r>
      <w:r>
        <w:rPr>
          <w:rStyle w:val="24"/>
          <w:rFonts w:hint="eastAsia" w:ascii="仿宋" w:hAnsi="Times New Roman" w:eastAsia="仿宋" w:cs="仿宋"/>
          <w:smallCaps w:val="0"/>
          <w:color w:val="000000" w:themeColor="text1"/>
          <w:sz w:val="24"/>
          <w:szCs w:val="24"/>
        </w:rPr>
        <w:fldChar w:fldCharType="end"/>
      </w:r>
    </w:p>
    <w:p>
      <w:pPr>
        <w:pStyle w:val="19"/>
        <w:tabs>
          <w:tab w:val="right" w:leader="dot" w:pos="8296"/>
        </w:tabs>
        <w:rPr>
          <w:rStyle w:val="24"/>
          <w:rFonts w:ascii="仿宋" w:hAnsi="Times New Roman" w:eastAsia="仿宋" w:cs="仿宋"/>
          <w:color w:val="000000" w:themeColor="text1"/>
          <w:sz w:val="24"/>
        </w:rPr>
      </w:pPr>
      <w:r>
        <w:fldChar w:fldCharType="begin"/>
      </w:r>
      <w:r>
        <w:instrText xml:space="preserve"> HYPERLINK \l "_Toc208087286" </w:instrText>
      </w:r>
      <w:r>
        <w:fldChar w:fldCharType="separate"/>
      </w:r>
      <w:r>
        <w:rPr>
          <w:rStyle w:val="24"/>
          <w:rFonts w:hint="eastAsia" w:ascii="仿宋" w:hAnsi="Times New Roman" w:eastAsia="仿宋" w:cs="仿宋"/>
          <w:smallCaps w:val="0"/>
          <w:color w:val="000000" w:themeColor="text1"/>
          <w:sz w:val="24"/>
          <w:szCs w:val="24"/>
        </w:rPr>
        <w:t>四、财政拨款收入支出决算总体情况说明</w:t>
      </w:r>
      <w:r>
        <w:rPr>
          <w:rStyle w:val="24"/>
          <w:rFonts w:hint="eastAsia" w:ascii="仿宋" w:hAnsi="Times New Roman" w:eastAsia="仿宋" w:cs="仿宋"/>
          <w:smallCaps w:val="0"/>
          <w:color w:val="000000" w:themeColor="text1"/>
          <w:sz w:val="24"/>
          <w:szCs w:val="24"/>
        </w:rPr>
        <w:tab/>
      </w:r>
      <w:r>
        <w:rPr>
          <w:rStyle w:val="24"/>
          <w:rFonts w:hint="eastAsia" w:ascii="仿宋" w:hAnsi="Times New Roman" w:eastAsia="仿宋" w:cs="仿宋"/>
          <w:smallCaps w:val="0"/>
          <w:color w:val="000000" w:themeColor="text1"/>
          <w:sz w:val="24"/>
          <w:szCs w:val="24"/>
        </w:rPr>
        <w:fldChar w:fldCharType="begin"/>
      </w:r>
      <w:r>
        <w:rPr>
          <w:rStyle w:val="24"/>
          <w:rFonts w:ascii="仿宋" w:hAnsi="Times New Roman" w:eastAsia="仿宋" w:cs="仿宋"/>
          <w:smallCaps w:val="0"/>
          <w:color w:val="000000" w:themeColor="text1"/>
          <w:sz w:val="24"/>
          <w:szCs w:val="24"/>
        </w:rPr>
        <w:instrText xml:space="preserve">PAGEREF _Toc208087286 \h</w:instrText>
      </w:r>
      <w:r>
        <w:rPr>
          <w:rStyle w:val="24"/>
          <w:rFonts w:hint="eastAsia" w:ascii="仿宋" w:hAnsi="Times New Roman" w:eastAsia="仿宋" w:cs="仿宋"/>
          <w:smallCaps w:val="0"/>
          <w:color w:val="000000" w:themeColor="text1"/>
          <w:sz w:val="24"/>
          <w:szCs w:val="24"/>
        </w:rPr>
        <w:fldChar w:fldCharType="separate"/>
      </w:r>
      <w:r>
        <w:rPr>
          <w:rStyle w:val="24"/>
          <w:rFonts w:ascii="仿宋" w:hAnsi="Times New Roman" w:eastAsia="仿宋" w:cs="仿宋"/>
          <w:smallCaps w:val="0"/>
          <w:color w:val="000000" w:themeColor="text1"/>
          <w:sz w:val="24"/>
          <w:szCs w:val="24"/>
        </w:rPr>
        <w:t>5</w:t>
      </w:r>
      <w:r>
        <w:rPr>
          <w:rStyle w:val="24"/>
          <w:rFonts w:hint="eastAsia" w:ascii="仿宋" w:hAnsi="Times New Roman" w:eastAsia="仿宋" w:cs="仿宋"/>
          <w:smallCaps w:val="0"/>
          <w:color w:val="000000" w:themeColor="text1"/>
          <w:sz w:val="24"/>
          <w:szCs w:val="24"/>
        </w:rPr>
        <w:fldChar w:fldCharType="end"/>
      </w:r>
      <w:r>
        <w:rPr>
          <w:rStyle w:val="24"/>
          <w:rFonts w:hint="eastAsia" w:ascii="仿宋" w:hAnsi="Times New Roman" w:eastAsia="仿宋" w:cs="仿宋"/>
          <w:smallCaps w:val="0"/>
          <w:color w:val="000000" w:themeColor="text1"/>
          <w:sz w:val="24"/>
          <w:szCs w:val="24"/>
        </w:rPr>
        <w:fldChar w:fldCharType="end"/>
      </w:r>
    </w:p>
    <w:p>
      <w:pPr>
        <w:pStyle w:val="19"/>
        <w:tabs>
          <w:tab w:val="right" w:leader="dot" w:pos="8296"/>
        </w:tabs>
        <w:rPr>
          <w:rStyle w:val="24"/>
          <w:rFonts w:ascii="仿宋" w:hAnsi="Times New Roman" w:eastAsia="仿宋" w:cs="仿宋"/>
          <w:color w:val="000000" w:themeColor="text1"/>
          <w:sz w:val="24"/>
        </w:rPr>
      </w:pPr>
      <w:r>
        <w:fldChar w:fldCharType="begin"/>
      </w:r>
      <w:r>
        <w:instrText xml:space="preserve"> HYPERLINK \l "_Toc208087287" </w:instrText>
      </w:r>
      <w:r>
        <w:fldChar w:fldCharType="separate"/>
      </w:r>
      <w:r>
        <w:rPr>
          <w:rStyle w:val="24"/>
          <w:rFonts w:hint="eastAsia" w:ascii="仿宋" w:hAnsi="Times New Roman" w:eastAsia="仿宋" w:cs="仿宋"/>
          <w:smallCaps w:val="0"/>
          <w:color w:val="000000" w:themeColor="text1"/>
          <w:sz w:val="24"/>
          <w:szCs w:val="24"/>
        </w:rPr>
        <w:t>五、一般公共预算财政拨款支出决算情况说明</w:t>
      </w:r>
      <w:r>
        <w:rPr>
          <w:rStyle w:val="24"/>
          <w:rFonts w:hint="eastAsia" w:ascii="仿宋" w:hAnsi="Times New Roman" w:eastAsia="仿宋" w:cs="仿宋"/>
          <w:smallCaps w:val="0"/>
          <w:color w:val="000000" w:themeColor="text1"/>
          <w:sz w:val="24"/>
          <w:szCs w:val="24"/>
        </w:rPr>
        <w:tab/>
      </w:r>
      <w:r>
        <w:rPr>
          <w:rStyle w:val="24"/>
          <w:rFonts w:hint="eastAsia" w:ascii="仿宋" w:hAnsi="Times New Roman" w:eastAsia="仿宋" w:cs="仿宋"/>
          <w:smallCaps w:val="0"/>
          <w:color w:val="000000" w:themeColor="text1"/>
          <w:sz w:val="24"/>
          <w:szCs w:val="24"/>
        </w:rPr>
        <w:fldChar w:fldCharType="begin"/>
      </w:r>
      <w:r>
        <w:rPr>
          <w:rStyle w:val="24"/>
          <w:rFonts w:ascii="仿宋" w:hAnsi="Times New Roman" w:eastAsia="仿宋" w:cs="仿宋"/>
          <w:smallCaps w:val="0"/>
          <w:color w:val="000000" w:themeColor="text1"/>
          <w:sz w:val="24"/>
          <w:szCs w:val="24"/>
        </w:rPr>
        <w:instrText xml:space="preserve">PAGEREF _Toc208087287 \h</w:instrText>
      </w:r>
      <w:r>
        <w:rPr>
          <w:rStyle w:val="24"/>
          <w:rFonts w:hint="eastAsia" w:ascii="仿宋" w:hAnsi="Times New Roman" w:eastAsia="仿宋" w:cs="仿宋"/>
          <w:smallCaps w:val="0"/>
          <w:color w:val="000000" w:themeColor="text1"/>
          <w:sz w:val="24"/>
          <w:szCs w:val="24"/>
        </w:rPr>
        <w:fldChar w:fldCharType="separate"/>
      </w:r>
      <w:r>
        <w:rPr>
          <w:rStyle w:val="24"/>
          <w:rFonts w:ascii="仿宋" w:hAnsi="Times New Roman" w:eastAsia="仿宋" w:cs="仿宋"/>
          <w:smallCaps w:val="0"/>
          <w:color w:val="000000" w:themeColor="text1"/>
          <w:sz w:val="24"/>
          <w:szCs w:val="24"/>
        </w:rPr>
        <w:t>6</w:t>
      </w:r>
      <w:r>
        <w:rPr>
          <w:rStyle w:val="24"/>
          <w:rFonts w:hint="eastAsia" w:ascii="仿宋" w:hAnsi="Times New Roman" w:eastAsia="仿宋" w:cs="仿宋"/>
          <w:smallCaps w:val="0"/>
          <w:color w:val="000000" w:themeColor="text1"/>
          <w:sz w:val="24"/>
          <w:szCs w:val="24"/>
        </w:rPr>
        <w:fldChar w:fldCharType="end"/>
      </w:r>
      <w:r>
        <w:rPr>
          <w:rStyle w:val="24"/>
          <w:rFonts w:hint="eastAsia" w:ascii="仿宋" w:hAnsi="Times New Roman" w:eastAsia="仿宋" w:cs="仿宋"/>
          <w:smallCaps w:val="0"/>
          <w:color w:val="000000" w:themeColor="text1"/>
          <w:sz w:val="24"/>
          <w:szCs w:val="24"/>
        </w:rPr>
        <w:fldChar w:fldCharType="end"/>
      </w:r>
    </w:p>
    <w:p>
      <w:pPr>
        <w:pStyle w:val="19"/>
        <w:tabs>
          <w:tab w:val="right" w:leader="dot" w:pos="8296"/>
        </w:tabs>
        <w:rPr>
          <w:rStyle w:val="24"/>
          <w:rFonts w:ascii="仿宋" w:hAnsi="Times New Roman" w:eastAsia="仿宋" w:cs="仿宋"/>
          <w:color w:val="000000" w:themeColor="text1"/>
          <w:sz w:val="24"/>
        </w:rPr>
      </w:pPr>
      <w:r>
        <w:fldChar w:fldCharType="begin"/>
      </w:r>
      <w:r>
        <w:instrText xml:space="preserve"> HYPERLINK \l "_Toc208087288" </w:instrText>
      </w:r>
      <w:r>
        <w:fldChar w:fldCharType="separate"/>
      </w:r>
      <w:r>
        <w:rPr>
          <w:rStyle w:val="24"/>
          <w:rFonts w:hint="eastAsia" w:ascii="仿宋" w:hAnsi="Times New Roman" w:eastAsia="仿宋" w:cs="仿宋"/>
          <w:smallCaps w:val="0"/>
          <w:color w:val="000000" w:themeColor="text1"/>
          <w:sz w:val="24"/>
          <w:szCs w:val="24"/>
        </w:rPr>
        <w:t>六、一般公共预算财政拨款基本支出决算情况说明</w:t>
      </w:r>
      <w:r>
        <w:rPr>
          <w:rStyle w:val="24"/>
          <w:rFonts w:hint="eastAsia" w:ascii="仿宋" w:hAnsi="Times New Roman" w:eastAsia="仿宋" w:cs="仿宋"/>
          <w:smallCaps w:val="0"/>
          <w:color w:val="000000" w:themeColor="text1"/>
          <w:sz w:val="24"/>
          <w:szCs w:val="24"/>
        </w:rPr>
        <w:tab/>
      </w:r>
      <w:r>
        <w:rPr>
          <w:rStyle w:val="24"/>
          <w:rFonts w:hint="eastAsia" w:ascii="仿宋" w:hAnsi="Times New Roman" w:eastAsia="仿宋" w:cs="仿宋"/>
          <w:smallCaps w:val="0"/>
          <w:color w:val="000000" w:themeColor="text1"/>
          <w:sz w:val="24"/>
          <w:szCs w:val="24"/>
        </w:rPr>
        <w:fldChar w:fldCharType="begin"/>
      </w:r>
      <w:r>
        <w:rPr>
          <w:rStyle w:val="24"/>
          <w:rFonts w:ascii="仿宋" w:hAnsi="Times New Roman" w:eastAsia="仿宋" w:cs="仿宋"/>
          <w:smallCaps w:val="0"/>
          <w:color w:val="000000" w:themeColor="text1"/>
          <w:sz w:val="24"/>
          <w:szCs w:val="24"/>
        </w:rPr>
        <w:instrText xml:space="preserve">PAGEREF _Toc208087288 \h</w:instrText>
      </w:r>
      <w:r>
        <w:rPr>
          <w:rStyle w:val="24"/>
          <w:rFonts w:hint="eastAsia" w:ascii="仿宋" w:hAnsi="Times New Roman" w:eastAsia="仿宋" w:cs="仿宋"/>
          <w:smallCaps w:val="0"/>
          <w:color w:val="000000" w:themeColor="text1"/>
          <w:sz w:val="24"/>
          <w:szCs w:val="24"/>
        </w:rPr>
        <w:fldChar w:fldCharType="separate"/>
      </w:r>
      <w:r>
        <w:rPr>
          <w:rStyle w:val="24"/>
          <w:rFonts w:ascii="仿宋" w:hAnsi="Times New Roman" w:eastAsia="仿宋" w:cs="仿宋"/>
          <w:smallCaps w:val="0"/>
          <w:color w:val="000000" w:themeColor="text1"/>
          <w:sz w:val="24"/>
          <w:szCs w:val="24"/>
        </w:rPr>
        <w:t>8</w:t>
      </w:r>
      <w:r>
        <w:rPr>
          <w:rStyle w:val="24"/>
          <w:rFonts w:hint="eastAsia" w:ascii="仿宋" w:hAnsi="Times New Roman" w:eastAsia="仿宋" w:cs="仿宋"/>
          <w:smallCaps w:val="0"/>
          <w:color w:val="000000" w:themeColor="text1"/>
          <w:sz w:val="24"/>
          <w:szCs w:val="24"/>
        </w:rPr>
        <w:fldChar w:fldCharType="end"/>
      </w:r>
      <w:r>
        <w:rPr>
          <w:rStyle w:val="24"/>
          <w:rFonts w:hint="eastAsia" w:ascii="仿宋" w:hAnsi="Times New Roman" w:eastAsia="仿宋" w:cs="仿宋"/>
          <w:smallCaps w:val="0"/>
          <w:color w:val="000000" w:themeColor="text1"/>
          <w:sz w:val="24"/>
          <w:szCs w:val="24"/>
        </w:rPr>
        <w:fldChar w:fldCharType="end"/>
      </w:r>
    </w:p>
    <w:p>
      <w:pPr>
        <w:pStyle w:val="19"/>
        <w:tabs>
          <w:tab w:val="right" w:leader="dot" w:pos="8296"/>
        </w:tabs>
        <w:rPr>
          <w:rStyle w:val="24"/>
          <w:rFonts w:ascii="仿宋" w:hAnsi="Times New Roman" w:eastAsia="仿宋" w:cs="仿宋"/>
          <w:color w:val="000000" w:themeColor="text1"/>
          <w:sz w:val="24"/>
        </w:rPr>
      </w:pPr>
      <w:r>
        <w:fldChar w:fldCharType="begin"/>
      </w:r>
      <w:r>
        <w:instrText xml:space="preserve"> HYPERLINK \l "_Toc208087289" </w:instrText>
      </w:r>
      <w:r>
        <w:fldChar w:fldCharType="separate"/>
      </w:r>
      <w:r>
        <w:rPr>
          <w:rStyle w:val="24"/>
          <w:rFonts w:hint="eastAsia" w:ascii="仿宋" w:hAnsi="Times New Roman" w:eastAsia="仿宋" w:cs="仿宋"/>
          <w:smallCaps w:val="0"/>
          <w:color w:val="000000" w:themeColor="text1"/>
          <w:sz w:val="24"/>
          <w:szCs w:val="24"/>
        </w:rPr>
        <w:t>七、财政拨款“三公”经费支出决算情况说明</w:t>
      </w:r>
      <w:r>
        <w:rPr>
          <w:rStyle w:val="24"/>
          <w:rFonts w:hint="eastAsia" w:ascii="仿宋" w:hAnsi="Times New Roman" w:eastAsia="仿宋" w:cs="仿宋"/>
          <w:smallCaps w:val="0"/>
          <w:color w:val="000000" w:themeColor="text1"/>
          <w:sz w:val="24"/>
          <w:szCs w:val="24"/>
        </w:rPr>
        <w:tab/>
      </w:r>
      <w:r>
        <w:rPr>
          <w:rStyle w:val="24"/>
          <w:rFonts w:hint="eastAsia" w:ascii="仿宋" w:hAnsi="Times New Roman" w:eastAsia="仿宋" w:cs="仿宋"/>
          <w:smallCaps w:val="0"/>
          <w:color w:val="000000" w:themeColor="text1"/>
          <w:sz w:val="24"/>
          <w:szCs w:val="24"/>
        </w:rPr>
        <w:fldChar w:fldCharType="begin"/>
      </w:r>
      <w:r>
        <w:rPr>
          <w:rStyle w:val="24"/>
          <w:rFonts w:ascii="仿宋" w:hAnsi="Times New Roman" w:eastAsia="仿宋" w:cs="仿宋"/>
          <w:smallCaps w:val="0"/>
          <w:color w:val="000000" w:themeColor="text1"/>
          <w:sz w:val="24"/>
          <w:szCs w:val="24"/>
        </w:rPr>
        <w:instrText xml:space="preserve">PAGEREF _Toc208087289 \h</w:instrText>
      </w:r>
      <w:r>
        <w:rPr>
          <w:rStyle w:val="24"/>
          <w:rFonts w:hint="eastAsia" w:ascii="仿宋" w:hAnsi="Times New Roman" w:eastAsia="仿宋" w:cs="仿宋"/>
          <w:smallCaps w:val="0"/>
          <w:color w:val="000000" w:themeColor="text1"/>
          <w:sz w:val="24"/>
          <w:szCs w:val="24"/>
        </w:rPr>
        <w:fldChar w:fldCharType="separate"/>
      </w:r>
      <w:r>
        <w:rPr>
          <w:rStyle w:val="24"/>
          <w:rFonts w:ascii="仿宋" w:hAnsi="Times New Roman" w:eastAsia="仿宋" w:cs="仿宋"/>
          <w:smallCaps w:val="0"/>
          <w:color w:val="000000" w:themeColor="text1"/>
          <w:sz w:val="24"/>
          <w:szCs w:val="24"/>
        </w:rPr>
        <w:t>9</w:t>
      </w:r>
      <w:r>
        <w:rPr>
          <w:rStyle w:val="24"/>
          <w:rFonts w:hint="eastAsia" w:ascii="仿宋" w:hAnsi="Times New Roman" w:eastAsia="仿宋" w:cs="仿宋"/>
          <w:smallCaps w:val="0"/>
          <w:color w:val="000000" w:themeColor="text1"/>
          <w:sz w:val="24"/>
          <w:szCs w:val="24"/>
        </w:rPr>
        <w:fldChar w:fldCharType="end"/>
      </w:r>
      <w:r>
        <w:rPr>
          <w:rStyle w:val="24"/>
          <w:rFonts w:hint="eastAsia" w:ascii="仿宋" w:hAnsi="Times New Roman" w:eastAsia="仿宋" w:cs="仿宋"/>
          <w:smallCaps w:val="0"/>
          <w:color w:val="000000" w:themeColor="text1"/>
          <w:sz w:val="24"/>
          <w:szCs w:val="24"/>
        </w:rPr>
        <w:fldChar w:fldCharType="end"/>
      </w:r>
    </w:p>
    <w:p>
      <w:pPr>
        <w:pStyle w:val="19"/>
        <w:tabs>
          <w:tab w:val="right" w:leader="dot" w:pos="8296"/>
        </w:tabs>
        <w:rPr>
          <w:rStyle w:val="24"/>
          <w:rFonts w:ascii="仿宋" w:hAnsi="Times New Roman" w:eastAsia="仿宋" w:cs="仿宋"/>
          <w:color w:val="000000" w:themeColor="text1"/>
          <w:sz w:val="24"/>
        </w:rPr>
      </w:pPr>
      <w:r>
        <w:fldChar w:fldCharType="begin"/>
      </w:r>
      <w:r>
        <w:instrText xml:space="preserve"> HYPERLINK \l "_Toc208087290" </w:instrText>
      </w:r>
      <w:r>
        <w:fldChar w:fldCharType="separate"/>
      </w:r>
      <w:r>
        <w:rPr>
          <w:rStyle w:val="24"/>
          <w:rFonts w:hint="eastAsia" w:ascii="仿宋" w:hAnsi="Times New Roman" w:eastAsia="仿宋" w:cs="仿宋"/>
          <w:smallCaps w:val="0"/>
          <w:color w:val="000000" w:themeColor="text1"/>
          <w:sz w:val="24"/>
          <w:szCs w:val="24"/>
        </w:rPr>
        <w:t>九、国有资本经营预算支出决算情况说明</w:t>
      </w:r>
      <w:r>
        <w:rPr>
          <w:rStyle w:val="24"/>
          <w:rFonts w:hint="eastAsia" w:ascii="仿宋" w:hAnsi="Times New Roman" w:eastAsia="仿宋" w:cs="仿宋"/>
          <w:smallCaps w:val="0"/>
          <w:color w:val="000000" w:themeColor="text1"/>
          <w:sz w:val="24"/>
          <w:szCs w:val="24"/>
        </w:rPr>
        <w:tab/>
      </w:r>
      <w:r>
        <w:rPr>
          <w:rStyle w:val="24"/>
          <w:rFonts w:hint="eastAsia" w:ascii="仿宋" w:hAnsi="Times New Roman" w:eastAsia="仿宋" w:cs="仿宋"/>
          <w:smallCaps w:val="0"/>
          <w:color w:val="000000" w:themeColor="text1"/>
          <w:sz w:val="24"/>
          <w:szCs w:val="24"/>
        </w:rPr>
        <w:fldChar w:fldCharType="begin"/>
      </w:r>
      <w:r>
        <w:rPr>
          <w:rStyle w:val="24"/>
          <w:rFonts w:ascii="仿宋" w:hAnsi="Times New Roman" w:eastAsia="仿宋" w:cs="仿宋"/>
          <w:smallCaps w:val="0"/>
          <w:color w:val="000000" w:themeColor="text1"/>
          <w:sz w:val="24"/>
          <w:szCs w:val="24"/>
        </w:rPr>
        <w:instrText xml:space="preserve">PAGEREF _Toc208087290 \h</w:instrText>
      </w:r>
      <w:r>
        <w:rPr>
          <w:rStyle w:val="24"/>
          <w:rFonts w:hint="eastAsia" w:ascii="仿宋" w:hAnsi="Times New Roman" w:eastAsia="仿宋" w:cs="仿宋"/>
          <w:smallCaps w:val="0"/>
          <w:color w:val="000000" w:themeColor="text1"/>
          <w:sz w:val="24"/>
          <w:szCs w:val="24"/>
        </w:rPr>
        <w:fldChar w:fldCharType="separate"/>
      </w:r>
      <w:r>
        <w:rPr>
          <w:rStyle w:val="24"/>
          <w:rFonts w:ascii="仿宋" w:hAnsi="Times New Roman" w:eastAsia="仿宋" w:cs="仿宋"/>
          <w:smallCaps w:val="0"/>
          <w:color w:val="000000" w:themeColor="text1"/>
          <w:sz w:val="24"/>
          <w:szCs w:val="24"/>
        </w:rPr>
        <w:t>10</w:t>
      </w:r>
      <w:r>
        <w:rPr>
          <w:rStyle w:val="24"/>
          <w:rFonts w:hint="eastAsia" w:ascii="仿宋" w:hAnsi="Times New Roman" w:eastAsia="仿宋" w:cs="仿宋"/>
          <w:smallCaps w:val="0"/>
          <w:color w:val="000000" w:themeColor="text1"/>
          <w:sz w:val="24"/>
          <w:szCs w:val="24"/>
        </w:rPr>
        <w:fldChar w:fldCharType="end"/>
      </w:r>
      <w:r>
        <w:rPr>
          <w:rStyle w:val="24"/>
          <w:rFonts w:hint="eastAsia" w:ascii="仿宋" w:hAnsi="Times New Roman" w:eastAsia="仿宋" w:cs="仿宋"/>
          <w:smallCaps w:val="0"/>
          <w:color w:val="000000" w:themeColor="text1"/>
          <w:sz w:val="24"/>
          <w:szCs w:val="24"/>
        </w:rPr>
        <w:fldChar w:fldCharType="end"/>
      </w:r>
    </w:p>
    <w:p>
      <w:pPr>
        <w:pStyle w:val="19"/>
        <w:tabs>
          <w:tab w:val="right" w:leader="dot" w:pos="8296"/>
        </w:tabs>
        <w:rPr>
          <w:rStyle w:val="24"/>
          <w:rFonts w:ascii="仿宋" w:hAnsi="Times New Roman" w:eastAsia="仿宋" w:cs="仿宋"/>
          <w:color w:val="000000" w:themeColor="text1"/>
          <w:sz w:val="24"/>
        </w:rPr>
      </w:pPr>
      <w:r>
        <w:fldChar w:fldCharType="begin"/>
      </w:r>
      <w:r>
        <w:instrText xml:space="preserve"> HYPERLINK \l "_Toc208087291" </w:instrText>
      </w:r>
      <w:r>
        <w:fldChar w:fldCharType="separate"/>
      </w:r>
      <w:r>
        <w:rPr>
          <w:rStyle w:val="24"/>
          <w:rFonts w:hint="eastAsia" w:ascii="仿宋" w:hAnsi="Times New Roman" w:eastAsia="仿宋" w:cs="仿宋"/>
          <w:smallCaps w:val="0"/>
          <w:color w:val="000000" w:themeColor="text1"/>
          <w:sz w:val="24"/>
          <w:szCs w:val="24"/>
        </w:rPr>
        <w:t>十、其他重要事项的情况说明</w:t>
      </w:r>
      <w:r>
        <w:rPr>
          <w:rStyle w:val="24"/>
          <w:rFonts w:hint="eastAsia" w:ascii="仿宋" w:hAnsi="Times New Roman" w:eastAsia="仿宋" w:cs="仿宋"/>
          <w:smallCaps w:val="0"/>
          <w:color w:val="000000" w:themeColor="text1"/>
          <w:sz w:val="24"/>
          <w:szCs w:val="24"/>
        </w:rPr>
        <w:tab/>
      </w:r>
      <w:r>
        <w:rPr>
          <w:rStyle w:val="24"/>
          <w:rFonts w:hint="eastAsia" w:ascii="仿宋" w:hAnsi="Times New Roman" w:eastAsia="仿宋" w:cs="仿宋"/>
          <w:smallCaps w:val="0"/>
          <w:color w:val="000000" w:themeColor="text1"/>
          <w:sz w:val="24"/>
          <w:szCs w:val="24"/>
        </w:rPr>
        <w:fldChar w:fldCharType="begin"/>
      </w:r>
      <w:r>
        <w:rPr>
          <w:rStyle w:val="24"/>
          <w:rFonts w:ascii="仿宋" w:hAnsi="Times New Roman" w:eastAsia="仿宋" w:cs="仿宋"/>
          <w:smallCaps w:val="0"/>
          <w:color w:val="000000" w:themeColor="text1"/>
          <w:sz w:val="24"/>
          <w:szCs w:val="24"/>
        </w:rPr>
        <w:instrText xml:space="preserve">PAGEREF _Toc208087291 \h</w:instrText>
      </w:r>
      <w:r>
        <w:rPr>
          <w:rStyle w:val="24"/>
          <w:rFonts w:hint="eastAsia" w:ascii="仿宋" w:hAnsi="Times New Roman" w:eastAsia="仿宋" w:cs="仿宋"/>
          <w:smallCaps w:val="0"/>
          <w:color w:val="000000" w:themeColor="text1"/>
          <w:sz w:val="24"/>
          <w:szCs w:val="24"/>
        </w:rPr>
        <w:fldChar w:fldCharType="separate"/>
      </w:r>
      <w:r>
        <w:rPr>
          <w:rStyle w:val="24"/>
          <w:rFonts w:ascii="仿宋" w:hAnsi="Times New Roman" w:eastAsia="仿宋" w:cs="仿宋"/>
          <w:smallCaps w:val="0"/>
          <w:color w:val="000000" w:themeColor="text1"/>
          <w:sz w:val="24"/>
          <w:szCs w:val="24"/>
        </w:rPr>
        <w:t>10</w:t>
      </w:r>
      <w:r>
        <w:rPr>
          <w:rStyle w:val="24"/>
          <w:rFonts w:hint="eastAsia" w:ascii="仿宋" w:hAnsi="Times New Roman" w:eastAsia="仿宋" w:cs="仿宋"/>
          <w:smallCaps w:val="0"/>
          <w:color w:val="000000" w:themeColor="text1"/>
          <w:sz w:val="24"/>
          <w:szCs w:val="24"/>
        </w:rPr>
        <w:fldChar w:fldCharType="end"/>
      </w:r>
      <w:r>
        <w:rPr>
          <w:rStyle w:val="24"/>
          <w:rFonts w:hint="eastAsia" w:ascii="仿宋" w:hAnsi="Times New Roman" w:eastAsia="仿宋" w:cs="仿宋"/>
          <w:smallCaps w:val="0"/>
          <w:color w:val="000000" w:themeColor="text1"/>
          <w:sz w:val="24"/>
          <w:szCs w:val="24"/>
        </w:rPr>
        <w:fldChar w:fldCharType="end"/>
      </w:r>
    </w:p>
    <w:p>
      <w:pPr>
        <w:pStyle w:val="16"/>
        <w:tabs>
          <w:tab w:val="right" w:leader="dot" w:pos="8296"/>
        </w:tabs>
        <w:rPr>
          <w:rStyle w:val="24"/>
          <w:rFonts w:ascii="仿宋" w:hAnsi="仿宋" w:eastAsia="黑体" w:cs="Times New Roman"/>
          <w:color w:val="000000" w:themeColor="text1"/>
          <w:sz w:val="24"/>
        </w:rPr>
      </w:pPr>
      <w:r>
        <w:fldChar w:fldCharType="begin"/>
      </w:r>
      <w:r>
        <w:instrText xml:space="preserve"> HYPERLINK \l "_Toc208087292" </w:instrText>
      </w:r>
      <w:r>
        <w:fldChar w:fldCharType="separate"/>
      </w:r>
      <w:r>
        <w:rPr>
          <w:rStyle w:val="24"/>
          <w:rFonts w:hint="eastAsia" w:ascii="仿宋" w:hAnsi="仿宋" w:eastAsia="黑体" w:cs="Times New Roman"/>
          <w:b w:val="0"/>
          <w:bCs w:val="0"/>
          <w:caps w:val="0"/>
          <w:color w:val="000000" w:themeColor="text1"/>
          <w:sz w:val="24"/>
          <w:szCs w:val="24"/>
        </w:rPr>
        <w:t>第三部分名词解释</w:t>
      </w:r>
      <w:r>
        <w:rPr>
          <w:rStyle w:val="24"/>
          <w:rFonts w:hint="eastAsia" w:ascii="仿宋" w:hAnsi="仿宋" w:eastAsia="黑体" w:cs="Times New Roman"/>
          <w:b w:val="0"/>
          <w:bCs w:val="0"/>
          <w:caps w:val="0"/>
          <w:color w:val="000000" w:themeColor="text1"/>
          <w:sz w:val="24"/>
          <w:szCs w:val="24"/>
        </w:rPr>
        <w:tab/>
      </w:r>
      <w:r>
        <w:rPr>
          <w:rStyle w:val="24"/>
          <w:rFonts w:hint="eastAsia" w:ascii="仿宋" w:hAnsi="仿宋" w:eastAsia="黑体" w:cs="Times New Roman"/>
          <w:b w:val="0"/>
          <w:bCs w:val="0"/>
          <w:caps w:val="0"/>
          <w:color w:val="000000" w:themeColor="text1"/>
          <w:sz w:val="24"/>
          <w:szCs w:val="24"/>
        </w:rPr>
        <w:fldChar w:fldCharType="begin"/>
      </w:r>
      <w:r>
        <w:rPr>
          <w:rStyle w:val="24"/>
          <w:rFonts w:ascii="仿宋" w:hAnsi="仿宋" w:eastAsia="黑体" w:cs="Times New Roman"/>
          <w:b w:val="0"/>
          <w:bCs w:val="0"/>
          <w:caps w:val="0"/>
          <w:color w:val="000000" w:themeColor="text1"/>
          <w:sz w:val="24"/>
          <w:szCs w:val="24"/>
        </w:rPr>
        <w:instrText xml:space="preserve">PAGEREF _Toc208087292 \h</w:instrText>
      </w:r>
      <w:r>
        <w:rPr>
          <w:rStyle w:val="24"/>
          <w:rFonts w:hint="eastAsia" w:ascii="仿宋" w:hAnsi="仿宋" w:eastAsia="黑体" w:cs="Times New Roman"/>
          <w:b w:val="0"/>
          <w:bCs w:val="0"/>
          <w:caps w:val="0"/>
          <w:color w:val="000000" w:themeColor="text1"/>
          <w:sz w:val="24"/>
          <w:szCs w:val="24"/>
        </w:rPr>
        <w:fldChar w:fldCharType="separate"/>
      </w:r>
      <w:r>
        <w:rPr>
          <w:rStyle w:val="24"/>
          <w:rFonts w:ascii="仿宋" w:hAnsi="仿宋" w:eastAsia="黑体" w:cs="Times New Roman"/>
          <w:b w:val="0"/>
          <w:bCs w:val="0"/>
          <w:caps w:val="0"/>
          <w:color w:val="000000" w:themeColor="text1"/>
          <w:sz w:val="24"/>
          <w:szCs w:val="24"/>
        </w:rPr>
        <w:t>12</w:t>
      </w:r>
      <w:r>
        <w:rPr>
          <w:rStyle w:val="24"/>
          <w:rFonts w:hint="eastAsia" w:ascii="仿宋" w:hAnsi="仿宋" w:eastAsia="黑体" w:cs="Times New Roman"/>
          <w:b w:val="0"/>
          <w:bCs w:val="0"/>
          <w:caps w:val="0"/>
          <w:color w:val="000000" w:themeColor="text1"/>
          <w:sz w:val="24"/>
          <w:szCs w:val="24"/>
        </w:rPr>
        <w:fldChar w:fldCharType="end"/>
      </w:r>
      <w:r>
        <w:rPr>
          <w:rStyle w:val="24"/>
          <w:rFonts w:hint="eastAsia" w:ascii="仿宋" w:hAnsi="仿宋" w:eastAsia="黑体" w:cs="Times New Roman"/>
          <w:b w:val="0"/>
          <w:bCs w:val="0"/>
          <w:caps w:val="0"/>
          <w:color w:val="000000" w:themeColor="text1"/>
          <w:sz w:val="24"/>
          <w:szCs w:val="24"/>
        </w:rPr>
        <w:fldChar w:fldCharType="end"/>
      </w:r>
    </w:p>
    <w:p>
      <w:pPr>
        <w:pStyle w:val="16"/>
        <w:tabs>
          <w:tab w:val="right" w:leader="dot" w:pos="8296"/>
        </w:tabs>
        <w:rPr>
          <w:rStyle w:val="24"/>
          <w:rFonts w:ascii="仿宋" w:hAnsi="仿宋" w:eastAsia="黑体" w:cs="Times New Roman"/>
          <w:color w:val="000000" w:themeColor="text1"/>
          <w:sz w:val="24"/>
        </w:rPr>
      </w:pPr>
      <w:r>
        <w:fldChar w:fldCharType="begin"/>
      </w:r>
      <w:r>
        <w:instrText xml:space="preserve"> HYPERLINK \l "_Toc208087293" </w:instrText>
      </w:r>
      <w:r>
        <w:fldChar w:fldCharType="separate"/>
      </w:r>
      <w:r>
        <w:rPr>
          <w:rStyle w:val="24"/>
          <w:rFonts w:hint="eastAsia" w:ascii="仿宋" w:hAnsi="仿宋" w:eastAsia="黑体" w:cs="Times New Roman"/>
          <w:b w:val="0"/>
          <w:bCs w:val="0"/>
          <w:caps w:val="0"/>
          <w:color w:val="000000" w:themeColor="text1"/>
          <w:sz w:val="24"/>
          <w:szCs w:val="24"/>
        </w:rPr>
        <w:t>第四部分附件</w:t>
      </w:r>
      <w:r>
        <w:rPr>
          <w:rStyle w:val="24"/>
          <w:rFonts w:hint="eastAsia" w:ascii="仿宋" w:hAnsi="仿宋" w:eastAsia="黑体" w:cs="Times New Roman"/>
          <w:b w:val="0"/>
          <w:bCs w:val="0"/>
          <w:caps w:val="0"/>
          <w:color w:val="000000" w:themeColor="text1"/>
          <w:sz w:val="24"/>
          <w:szCs w:val="24"/>
        </w:rPr>
        <w:tab/>
      </w:r>
      <w:r>
        <w:rPr>
          <w:rStyle w:val="24"/>
          <w:rFonts w:hint="eastAsia" w:ascii="仿宋" w:hAnsi="仿宋" w:eastAsia="黑体" w:cs="Times New Roman"/>
          <w:b w:val="0"/>
          <w:bCs w:val="0"/>
          <w:caps w:val="0"/>
          <w:color w:val="000000" w:themeColor="text1"/>
          <w:sz w:val="24"/>
          <w:szCs w:val="24"/>
        </w:rPr>
        <w:fldChar w:fldCharType="begin"/>
      </w:r>
      <w:r>
        <w:rPr>
          <w:rStyle w:val="24"/>
          <w:rFonts w:ascii="仿宋" w:hAnsi="仿宋" w:eastAsia="黑体" w:cs="Times New Roman"/>
          <w:b w:val="0"/>
          <w:bCs w:val="0"/>
          <w:caps w:val="0"/>
          <w:color w:val="000000" w:themeColor="text1"/>
          <w:sz w:val="24"/>
          <w:szCs w:val="24"/>
        </w:rPr>
        <w:instrText xml:space="preserve">PAGEREF _Toc208087293 \h</w:instrText>
      </w:r>
      <w:r>
        <w:rPr>
          <w:rStyle w:val="24"/>
          <w:rFonts w:hint="eastAsia" w:ascii="仿宋" w:hAnsi="仿宋" w:eastAsia="黑体" w:cs="Times New Roman"/>
          <w:b w:val="0"/>
          <w:bCs w:val="0"/>
          <w:caps w:val="0"/>
          <w:color w:val="000000" w:themeColor="text1"/>
          <w:sz w:val="24"/>
          <w:szCs w:val="24"/>
        </w:rPr>
        <w:fldChar w:fldCharType="separate"/>
      </w:r>
      <w:r>
        <w:rPr>
          <w:rStyle w:val="24"/>
          <w:rFonts w:ascii="仿宋" w:hAnsi="仿宋" w:eastAsia="黑体" w:cs="Times New Roman"/>
          <w:b w:val="0"/>
          <w:bCs w:val="0"/>
          <w:caps w:val="0"/>
          <w:color w:val="000000" w:themeColor="text1"/>
          <w:sz w:val="24"/>
          <w:szCs w:val="24"/>
        </w:rPr>
        <w:t>16</w:t>
      </w:r>
      <w:r>
        <w:rPr>
          <w:rStyle w:val="24"/>
          <w:rFonts w:hint="eastAsia" w:ascii="仿宋" w:hAnsi="仿宋" w:eastAsia="黑体" w:cs="Times New Roman"/>
          <w:b w:val="0"/>
          <w:bCs w:val="0"/>
          <w:caps w:val="0"/>
          <w:color w:val="000000" w:themeColor="text1"/>
          <w:sz w:val="24"/>
          <w:szCs w:val="24"/>
        </w:rPr>
        <w:fldChar w:fldCharType="end"/>
      </w:r>
      <w:r>
        <w:rPr>
          <w:rStyle w:val="24"/>
          <w:rFonts w:hint="eastAsia" w:ascii="仿宋" w:hAnsi="仿宋" w:eastAsia="黑体" w:cs="Times New Roman"/>
          <w:b w:val="0"/>
          <w:bCs w:val="0"/>
          <w:caps w:val="0"/>
          <w:color w:val="000000" w:themeColor="text1"/>
          <w:sz w:val="24"/>
          <w:szCs w:val="24"/>
        </w:rPr>
        <w:fldChar w:fldCharType="end"/>
      </w:r>
    </w:p>
    <w:p>
      <w:pPr>
        <w:pStyle w:val="16"/>
        <w:tabs>
          <w:tab w:val="right" w:leader="dot" w:pos="8296"/>
        </w:tabs>
        <w:rPr>
          <w:rStyle w:val="24"/>
          <w:rFonts w:ascii="仿宋" w:hAnsi="仿宋" w:eastAsia="黑体" w:cs="Times New Roman"/>
          <w:color w:val="000000" w:themeColor="text1"/>
          <w:sz w:val="24"/>
        </w:rPr>
      </w:pPr>
      <w:r>
        <w:fldChar w:fldCharType="begin"/>
      </w:r>
      <w:r>
        <w:instrText xml:space="preserve"> HYPERLINK \l "_Toc208087294" </w:instrText>
      </w:r>
      <w:r>
        <w:fldChar w:fldCharType="separate"/>
      </w:r>
      <w:r>
        <w:rPr>
          <w:rStyle w:val="24"/>
          <w:rFonts w:hint="eastAsia" w:ascii="仿宋" w:hAnsi="仿宋" w:eastAsia="黑体" w:cs="Times New Roman"/>
          <w:b w:val="0"/>
          <w:bCs w:val="0"/>
          <w:caps w:val="0"/>
          <w:color w:val="000000" w:themeColor="text1"/>
          <w:sz w:val="24"/>
          <w:szCs w:val="24"/>
        </w:rPr>
        <w:t>第五部分附表</w:t>
      </w:r>
      <w:r>
        <w:rPr>
          <w:rStyle w:val="24"/>
          <w:rFonts w:hint="eastAsia" w:ascii="仿宋" w:hAnsi="仿宋" w:eastAsia="黑体" w:cs="Times New Roman"/>
          <w:b w:val="0"/>
          <w:bCs w:val="0"/>
          <w:caps w:val="0"/>
          <w:color w:val="000000" w:themeColor="text1"/>
          <w:sz w:val="24"/>
          <w:szCs w:val="24"/>
        </w:rPr>
        <w:tab/>
      </w:r>
      <w:r>
        <w:rPr>
          <w:rStyle w:val="24"/>
          <w:rFonts w:hint="eastAsia" w:ascii="仿宋" w:hAnsi="仿宋" w:eastAsia="黑体" w:cs="Times New Roman"/>
          <w:b w:val="0"/>
          <w:bCs w:val="0"/>
          <w:caps w:val="0"/>
          <w:color w:val="000000" w:themeColor="text1"/>
          <w:sz w:val="24"/>
          <w:szCs w:val="24"/>
        </w:rPr>
        <w:fldChar w:fldCharType="begin"/>
      </w:r>
      <w:r>
        <w:rPr>
          <w:rStyle w:val="24"/>
          <w:rFonts w:ascii="仿宋" w:hAnsi="仿宋" w:eastAsia="黑体" w:cs="Times New Roman"/>
          <w:b w:val="0"/>
          <w:bCs w:val="0"/>
          <w:caps w:val="0"/>
          <w:color w:val="000000" w:themeColor="text1"/>
          <w:sz w:val="24"/>
          <w:szCs w:val="24"/>
        </w:rPr>
        <w:instrText xml:space="preserve">PAGEREF _Toc208087294 \h</w:instrText>
      </w:r>
      <w:r>
        <w:rPr>
          <w:rStyle w:val="24"/>
          <w:rFonts w:hint="eastAsia" w:ascii="仿宋" w:hAnsi="仿宋" w:eastAsia="黑体" w:cs="Times New Roman"/>
          <w:b w:val="0"/>
          <w:bCs w:val="0"/>
          <w:caps w:val="0"/>
          <w:color w:val="000000" w:themeColor="text1"/>
          <w:sz w:val="24"/>
          <w:szCs w:val="24"/>
        </w:rPr>
        <w:fldChar w:fldCharType="separate"/>
      </w:r>
      <w:r>
        <w:rPr>
          <w:rStyle w:val="24"/>
          <w:rFonts w:ascii="仿宋" w:hAnsi="仿宋" w:eastAsia="黑体" w:cs="Times New Roman"/>
          <w:b w:val="0"/>
          <w:bCs w:val="0"/>
          <w:caps w:val="0"/>
          <w:color w:val="000000" w:themeColor="text1"/>
          <w:sz w:val="24"/>
          <w:szCs w:val="24"/>
        </w:rPr>
        <w:t>39</w:t>
      </w:r>
      <w:r>
        <w:rPr>
          <w:rStyle w:val="24"/>
          <w:rFonts w:hint="eastAsia" w:ascii="仿宋" w:hAnsi="仿宋" w:eastAsia="黑体" w:cs="Times New Roman"/>
          <w:b w:val="0"/>
          <w:bCs w:val="0"/>
          <w:caps w:val="0"/>
          <w:color w:val="000000" w:themeColor="text1"/>
          <w:sz w:val="24"/>
          <w:szCs w:val="24"/>
        </w:rPr>
        <w:fldChar w:fldCharType="end"/>
      </w:r>
      <w:r>
        <w:rPr>
          <w:rStyle w:val="24"/>
          <w:rFonts w:hint="eastAsia" w:ascii="仿宋" w:hAnsi="仿宋" w:eastAsia="黑体" w:cs="Times New Roman"/>
          <w:b w:val="0"/>
          <w:bCs w:val="0"/>
          <w:caps w:val="0"/>
          <w:color w:val="000000" w:themeColor="text1"/>
          <w:sz w:val="24"/>
          <w:szCs w:val="24"/>
        </w:rPr>
        <w:fldChar w:fldCharType="end"/>
      </w:r>
    </w:p>
    <w:p>
      <w:pPr>
        <w:pStyle w:val="19"/>
        <w:tabs>
          <w:tab w:val="right" w:leader="dot" w:pos="8296"/>
        </w:tabs>
        <w:rPr>
          <w:rStyle w:val="24"/>
          <w:rFonts w:ascii="仿宋" w:hAnsi="Times New Roman" w:eastAsia="仿宋" w:cs="仿宋"/>
          <w:color w:val="000000" w:themeColor="text1"/>
          <w:sz w:val="24"/>
        </w:rPr>
      </w:pPr>
      <w:r>
        <w:fldChar w:fldCharType="begin"/>
      </w:r>
      <w:r>
        <w:instrText xml:space="preserve"> HYPERLINK \l "_Toc208087295" </w:instrText>
      </w:r>
      <w:r>
        <w:fldChar w:fldCharType="separate"/>
      </w:r>
      <w:r>
        <w:rPr>
          <w:rStyle w:val="24"/>
          <w:rFonts w:hint="eastAsia" w:ascii="仿宋" w:hAnsi="Times New Roman" w:eastAsia="仿宋" w:cs="仿宋"/>
          <w:smallCaps w:val="0"/>
          <w:color w:val="000000" w:themeColor="text1"/>
          <w:sz w:val="24"/>
          <w:szCs w:val="24"/>
        </w:rPr>
        <w:t>一、收入支出决算总表</w:t>
      </w:r>
      <w:r>
        <w:rPr>
          <w:rStyle w:val="24"/>
          <w:rFonts w:hint="eastAsia" w:ascii="仿宋" w:hAnsi="Times New Roman" w:eastAsia="仿宋" w:cs="仿宋"/>
          <w:smallCaps w:val="0"/>
          <w:color w:val="000000" w:themeColor="text1"/>
          <w:sz w:val="24"/>
          <w:szCs w:val="24"/>
        </w:rPr>
        <w:tab/>
      </w:r>
      <w:r>
        <w:rPr>
          <w:rStyle w:val="24"/>
          <w:rFonts w:hint="eastAsia" w:ascii="仿宋" w:hAnsi="Times New Roman" w:eastAsia="仿宋" w:cs="仿宋"/>
          <w:smallCaps w:val="0"/>
          <w:color w:val="000000" w:themeColor="text1"/>
          <w:sz w:val="24"/>
          <w:szCs w:val="24"/>
        </w:rPr>
        <w:fldChar w:fldCharType="begin"/>
      </w:r>
      <w:r>
        <w:rPr>
          <w:rStyle w:val="24"/>
          <w:rFonts w:ascii="仿宋" w:hAnsi="Times New Roman" w:eastAsia="仿宋" w:cs="仿宋"/>
          <w:smallCaps w:val="0"/>
          <w:color w:val="000000" w:themeColor="text1"/>
          <w:sz w:val="24"/>
          <w:szCs w:val="24"/>
        </w:rPr>
        <w:instrText xml:space="preserve">PAGEREF _Toc208087295 \h</w:instrText>
      </w:r>
      <w:r>
        <w:rPr>
          <w:rStyle w:val="24"/>
          <w:rFonts w:hint="eastAsia" w:ascii="仿宋" w:hAnsi="Times New Roman" w:eastAsia="仿宋" w:cs="仿宋"/>
          <w:smallCaps w:val="0"/>
          <w:color w:val="000000" w:themeColor="text1"/>
          <w:sz w:val="24"/>
          <w:szCs w:val="24"/>
        </w:rPr>
        <w:fldChar w:fldCharType="separate"/>
      </w:r>
      <w:r>
        <w:rPr>
          <w:rStyle w:val="24"/>
          <w:rFonts w:ascii="仿宋" w:hAnsi="Times New Roman" w:eastAsia="仿宋" w:cs="仿宋"/>
          <w:smallCaps w:val="0"/>
          <w:color w:val="000000" w:themeColor="text1"/>
          <w:sz w:val="24"/>
          <w:szCs w:val="24"/>
        </w:rPr>
        <w:t>39</w:t>
      </w:r>
      <w:r>
        <w:rPr>
          <w:rStyle w:val="24"/>
          <w:rFonts w:hint="eastAsia" w:ascii="仿宋" w:hAnsi="Times New Roman" w:eastAsia="仿宋" w:cs="仿宋"/>
          <w:smallCaps w:val="0"/>
          <w:color w:val="000000" w:themeColor="text1"/>
          <w:sz w:val="24"/>
          <w:szCs w:val="24"/>
        </w:rPr>
        <w:fldChar w:fldCharType="end"/>
      </w:r>
      <w:r>
        <w:rPr>
          <w:rStyle w:val="24"/>
          <w:rFonts w:hint="eastAsia" w:ascii="仿宋" w:hAnsi="Times New Roman" w:eastAsia="仿宋" w:cs="仿宋"/>
          <w:smallCaps w:val="0"/>
          <w:color w:val="000000" w:themeColor="text1"/>
          <w:sz w:val="24"/>
          <w:szCs w:val="24"/>
        </w:rPr>
        <w:fldChar w:fldCharType="end"/>
      </w:r>
    </w:p>
    <w:p>
      <w:pPr>
        <w:pStyle w:val="19"/>
        <w:tabs>
          <w:tab w:val="right" w:leader="dot" w:pos="8296"/>
        </w:tabs>
        <w:rPr>
          <w:rStyle w:val="24"/>
          <w:rFonts w:ascii="仿宋" w:hAnsi="Times New Roman" w:eastAsia="仿宋" w:cs="仿宋"/>
          <w:color w:val="000000" w:themeColor="text1"/>
          <w:sz w:val="24"/>
        </w:rPr>
      </w:pPr>
      <w:r>
        <w:fldChar w:fldCharType="begin"/>
      </w:r>
      <w:r>
        <w:instrText xml:space="preserve"> HYPERLINK \l "_Toc208087296" </w:instrText>
      </w:r>
      <w:r>
        <w:fldChar w:fldCharType="separate"/>
      </w:r>
      <w:r>
        <w:rPr>
          <w:rStyle w:val="24"/>
          <w:rFonts w:hint="eastAsia" w:ascii="仿宋" w:hAnsi="Times New Roman" w:eastAsia="仿宋" w:cs="仿宋"/>
          <w:smallCaps w:val="0"/>
          <w:color w:val="000000" w:themeColor="text1"/>
          <w:sz w:val="24"/>
          <w:szCs w:val="24"/>
        </w:rPr>
        <w:t>二、收入决算表</w:t>
      </w:r>
      <w:r>
        <w:rPr>
          <w:rStyle w:val="24"/>
          <w:rFonts w:hint="eastAsia" w:ascii="仿宋" w:hAnsi="Times New Roman" w:eastAsia="仿宋" w:cs="仿宋"/>
          <w:smallCaps w:val="0"/>
          <w:color w:val="000000" w:themeColor="text1"/>
          <w:sz w:val="24"/>
          <w:szCs w:val="24"/>
        </w:rPr>
        <w:tab/>
      </w:r>
      <w:r>
        <w:rPr>
          <w:rStyle w:val="24"/>
          <w:rFonts w:hint="eastAsia" w:ascii="仿宋" w:hAnsi="Times New Roman" w:eastAsia="仿宋" w:cs="仿宋"/>
          <w:smallCaps w:val="0"/>
          <w:color w:val="000000" w:themeColor="text1"/>
          <w:sz w:val="24"/>
          <w:szCs w:val="24"/>
        </w:rPr>
        <w:fldChar w:fldCharType="begin"/>
      </w:r>
      <w:r>
        <w:rPr>
          <w:rStyle w:val="24"/>
          <w:rFonts w:ascii="仿宋" w:hAnsi="Times New Roman" w:eastAsia="仿宋" w:cs="仿宋"/>
          <w:smallCaps w:val="0"/>
          <w:color w:val="000000" w:themeColor="text1"/>
          <w:sz w:val="24"/>
          <w:szCs w:val="24"/>
        </w:rPr>
        <w:instrText xml:space="preserve">PAGEREF _Toc208087296 \h</w:instrText>
      </w:r>
      <w:r>
        <w:rPr>
          <w:rStyle w:val="24"/>
          <w:rFonts w:hint="eastAsia" w:ascii="仿宋" w:hAnsi="Times New Roman" w:eastAsia="仿宋" w:cs="仿宋"/>
          <w:smallCaps w:val="0"/>
          <w:color w:val="000000" w:themeColor="text1"/>
          <w:sz w:val="24"/>
          <w:szCs w:val="24"/>
        </w:rPr>
        <w:fldChar w:fldCharType="separate"/>
      </w:r>
      <w:r>
        <w:rPr>
          <w:rStyle w:val="24"/>
          <w:rFonts w:ascii="仿宋" w:hAnsi="Times New Roman" w:eastAsia="仿宋" w:cs="仿宋"/>
          <w:smallCaps w:val="0"/>
          <w:color w:val="000000" w:themeColor="text1"/>
          <w:sz w:val="24"/>
          <w:szCs w:val="24"/>
        </w:rPr>
        <w:t>39</w:t>
      </w:r>
      <w:r>
        <w:rPr>
          <w:rStyle w:val="24"/>
          <w:rFonts w:hint="eastAsia" w:ascii="仿宋" w:hAnsi="Times New Roman" w:eastAsia="仿宋" w:cs="仿宋"/>
          <w:smallCaps w:val="0"/>
          <w:color w:val="000000" w:themeColor="text1"/>
          <w:sz w:val="24"/>
          <w:szCs w:val="24"/>
        </w:rPr>
        <w:fldChar w:fldCharType="end"/>
      </w:r>
      <w:r>
        <w:rPr>
          <w:rStyle w:val="24"/>
          <w:rFonts w:hint="eastAsia" w:ascii="仿宋" w:hAnsi="Times New Roman" w:eastAsia="仿宋" w:cs="仿宋"/>
          <w:smallCaps w:val="0"/>
          <w:color w:val="000000" w:themeColor="text1"/>
          <w:sz w:val="24"/>
          <w:szCs w:val="24"/>
        </w:rPr>
        <w:fldChar w:fldCharType="end"/>
      </w:r>
    </w:p>
    <w:p>
      <w:pPr>
        <w:pStyle w:val="19"/>
        <w:tabs>
          <w:tab w:val="right" w:leader="dot" w:pos="8296"/>
        </w:tabs>
        <w:rPr>
          <w:rStyle w:val="24"/>
          <w:rFonts w:ascii="仿宋" w:hAnsi="Times New Roman" w:eastAsia="仿宋" w:cs="仿宋"/>
          <w:color w:val="000000" w:themeColor="text1"/>
          <w:sz w:val="24"/>
        </w:rPr>
      </w:pPr>
      <w:r>
        <w:fldChar w:fldCharType="begin"/>
      </w:r>
      <w:r>
        <w:instrText xml:space="preserve"> HYPERLINK \l "_Toc208087297" </w:instrText>
      </w:r>
      <w:r>
        <w:fldChar w:fldCharType="separate"/>
      </w:r>
      <w:r>
        <w:rPr>
          <w:rStyle w:val="24"/>
          <w:rFonts w:hint="eastAsia" w:ascii="仿宋" w:hAnsi="Times New Roman" w:eastAsia="仿宋" w:cs="仿宋"/>
          <w:smallCaps w:val="0"/>
          <w:color w:val="000000" w:themeColor="text1"/>
          <w:sz w:val="24"/>
          <w:szCs w:val="24"/>
        </w:rPr>
        <w:t>三、支出决算表</w:t>
      </w:r>
      <w:r>
        <w:rPr>
          <w:rStyle w:val="24"/>
          <w:rFonts w:hint="eastAsia" w:ascii="仿宋" w:hAnsi="Times New Roman" w:eastAsia="仿宋" w:cs="仿宋"/>
          <w:smallCaps w:val="0"/>
          <w:color w:val="000000" w:themeColor="text1"/>
          <w:sz w:val="24"/>
          <w:szCs w:val="24"/>
        </w:rPr>
        <w:tab/>
      </w:r>
      <w:r>
        <w:rPr>
          <w:rStyle w:val="24"/>
          <w:rFonts w:hint="eastAsia" w:ascii="仿宋" w:hAnsi="Times New Roman" w:eastAsia="仿宋" w:cs="仿宋"/>
          <w:smallCaps w:val="0"/>
          <w:color w:val="000000" w:themeColor="text1"/>
          <w:sz w:val="24"/>
          <w:szCs w:val="24"/>
        </w:rPr>
        <w:fldChar w:fldCharType="begin"/>
      </w:r>
      <w:r>
        <w:rPr>
          <w:rStyle w:val="24"/>
          <w:rFonts w:ascii="仿宋" w:hAnsi="Times New Roman" w:eastAsia="仿宋" w:cs="仿宋"/>
          <w:smallCaps w:val="0"/>
          <w:color w:val="000000" w:themeColor="text1"/>
          <w:sz w:val="24"/>
          <w:szCs w:val="24"/>
        </w:rPr>
        <w:instrText xml:space="preserve">PAGEREF _Toc208087297 \h</w:instrText>
      </w:r>
      <w:r>
        <w:rPr>
          <w:rStyle w:val="24"/>
          <w:rFonts w:hint="eastAsia" w:ascii="仿宋" w:hAnsi="Times New Roman" w:eastAsia="仿宋" w:cs="仿宋"/>
          <w:smallCaps w:val="0"/>
          <w:color w:val="000000" w:themeColor="text1"/>
          <w:sz w:val="24"/>
          <w:szCs w:val="24"/>
        </w:rPr>
        <w:fldChar w:fldCharType="separate"/>
      </w:r>
      <w:r>
        <w:rPr>
          <w:rStyle w:val="24"/>
          <w:rFonts w:ascii="仿宋" w:hAnsi="Times New Roman" w:eastAsia="仿宋" w:cs="仿宋"/>
          <w:smallCaps w:val="0"/>
          <w:color w:val="000000" w:themeColor="text1"/>
          <w:sz w:val="24"/>
          <w:szCs w:val="24"/>
        </w:rPr>
        <w:t>39</w:t>
      </w:r>
      <w:r>
        <w:rPr>
          <w:rStyle w:val="24"/>
          <w:rFonts w:hint="eastAsia" w:ascii="仿宋" w:hAnsi="Times New Roman" w:eastAsia="仿宋" w:cs="仿宋"/>
          <w:smallCaps w:val="0"/>
          <w:color w:val="000000" w:themeColor="text1"/>
          <w:sz w:val="24"/>
          <w:szCs w:val="24"/>
        </w:rPr>
        <w:fldChar w:fldCharType="end"/>
      </w:r>
      <w:r>
        <w:rPr>
          <w:rStyle w:val="24"/>
          <w:rFonts w:hint="eastAsia" w:ascii="仿宋" w:hAnsi="Times New Roman" w:eastAsia="仿宋" w:cs="仿宋"/>
          <w:smallCaps w:val="0"/>
          <w:color w:val="000000" w:themeColor="text1"/>
          <w:sz w:val="24"/>
          <w:szCs w:val="24"/>
        </w:rPr>
        <w:fldChar w:fldCharType="end"/>
      </w:r>
    </w:p>
    <w:p>
      <w:pPr>
        <w:pStyle w:val="19"/>
        <w:tabs>
          <w:tab w:val="right" w:leader="dot" w:pos="8296"/>
        </w:tabs>
        <w:rPr>
          <w:rStyle w:val="24"/>
          <w:rFonts w:ascii="仿宋" w:hAnsi="Times New Roman" w:eastAsia="仿宋" w:cs="仿宋"/>
          <w:color w:val="000000" w:themeColor="text1"/>
          <w:sz w:val="24"/>
        </w:rPr>
      </w:pPr>
      <w:r>
        <w:fldChar w:fldCharType="begin"/>
      </w:r>
      <w:r>
        <w:instrText xml:space="preserve"> HYPERLINK \l "_Toc208087298" </w:instrText>
      </w:r>
      <w:r>
        <w:fldChar w:fldCharType="separate"/>
      </w:r>
      <w:r>
        <w:rPr>
          <w:rStyle w:val="24"/>
          <w:rFonts w:hint="eastAsia" w:ascii="仿宋" w:hAnsi="Times New Roman" w:eastAsia="仿宋" w:cs="仿宋"/>
          <w:smallCaps w:val="0"/>
          <w:color w:val="000000" w:themeColor="text1"/>
          <w:sz w:val="24"/>
          <w:szCs w:val="24"/>
        </w:rPr>
        <w:t>四、财政拨款收入支出决算总表</w:t>
      </w:r>
      <w:r>
        <w:rPr>
          <w:rStyle w:val="24"/>
          <w:rFonts w:hint="eastAsia" w:ascii="仿宋" w:hAnsi="Times New Roman" w:eastAsia="仿宋" w:cs="仿宋"/>
          <w:smallCaps w:val="0"/>
          <w:color w:val="000000" w:themeColor="text1"/>
          <w:sz w:val="24"/>
          <w:szCs w:val="24"/>
        </w:rPr>
        <w:tab/>
      </w:r>
      <w:r>
        <w:rPr>
          <w:rStyle w:val="24"/>
          <w:rFonts w:hint="eastAsia" w:ascii="仿宋" w:hAnsi="Times New Roman" w:eastAsia="仿宋" w:cs="仿宋"/>
          <w:smallCaps w:val="0"/>
          <w:color w:val="000000" w:themeColor="text1"/>
          <w:sz w:val="24"/>
          <w:szCs w:val="24"/>
        </w:rPr>
        <w:fldChar w:fldCharType="begin"/>
      </w:r>
      <w:r>
        <w:rPr>
          <w:rStyle w:val="24"/>
          <w:rFonts w:ascii="仿宋" w:hAnsi="Times New Roman" w:eastAsia="仿宋" w:cs="仿宋"/>
          <w:smallCaps w:val="0"/>
          <w:color w:val="000000" w:themeColor="text1"/>
          <w:sz w:val="24"/>
          <w:szCs w:val="24"/>
        </w:rPr>
        <w:instrText xml:space="preserve">PAGEREF _Toc208087298 \h</w:instrText>
      </w:r>
      <w:r>
        <w:rPr>
          <w:rStyle w:val="24"/>
          <w:rFonts w:hint="eastAsia" w:ascii="仿宋" w:hAnsi="Times New Roman" w:eastAsia="仿宋" w:cs="仿宋"/>
          <w:smallCaps w:val="0"/>
          <w:color w:val="000000" w:themeColor="text1"/>
          <w:sz w:val="24"/>
          <w:szCs w:val="24"/>
        </w:rPr>
        <w:fldChar w:fldCharType="separate"/>
      </w:r>
      <w:r>
        <w:rPr>
          <w:rStyle w:val="24"/>
          <w:rFonts w:ascii="仿宋" w:hAnsi="Times New Roman" w:eastAsia="仿宋" w:cs="仿宋"/>
          <w:smallCaps w:val="0"/>
          <w:color w:val="000000" w:themeColor="text1"/>
          <w:sz w:val="24"/>
          <w:szCs w:val="24"/>
        </w:rPr>
        <w:t>39</w:t>
      </w:r>
      <w:r>
        <w:rPr>
          <w:rStyle w:val="24"/>
          <w:rFonts w:hint="eastAsia" w:ascii="仿宋" w:hAnsi="Times New Roman" w:eastAsia="仿宋" w:cs="仿宋"/>
          <w:smallCaps w:val="0"/>
          <w:color w:val="000000" w:themeColor="text1"/>
          <w:sz w:val="24"/>
          <w:szCs w:val="24"/>
        </w:rPr>
        <w:fldChar w:fldCharType="end"/>
      </w:r>
      <w:r>
        <w:rPr>
          <w:rStyle w:val="24"/>
          <w:rFonts w:hint="eastAsia" w:ascii="仿宋" w:hAnsi="Times New Roman" w:eastAsia="仿宋" w:cs="仿宋"/>
          <w:smallCaps w:val="0"/>
          <w:color w:val="000000" w:themeColor="text1"/>
          <w:sz w:val="24"/>
          <w:szCs w:val="24"/>
        </w:rPr>
        <w:fldChar w:fldCharType="end"/>
      </w:r>
    </w:p>
    <w:p>
      <w:pPr>
        <w:pStyle w:val="19"/>
        <w:tabs>
          <w:tab w:val="right" w:leader="dot" w:pos="8296"/>
        </w:tabs>
        <w:rPr>
          <w:rStyle w:val="24"/>
          <w:rFonts w:ascii="仿宋" w:hAnsi="Times New Roman" w:eastAsia="仿宋" w:cs="仿宋"/>
          <w:color w:val="000000" w:themeColor="text1"/>
          <w:sz w:val="24"/>
        </w:rPr>
      </w:pPr>
      <w:r>
        <w:fldChar w:fldCharType="begin"/>
      </w:r>
      <w:r>
        <w:instrText xml:space="preserve"> HYPERLINK \l "_Toc208087299" </w:instrText>
      </w:r>
      <w:r>
        <w:fldChar w:fldCharType="separate"/>
      </w:r>
      <w:r>
        <w:rPr>
          <w:rStyle w:val="24"/>
          <w:rFonts w:hint="eastAsia" w:ascii="仿宋" w:hAnsi="Times New Roman" w:eastAsia="仿宋" w:cs="仿宋"/>
          <w:smallCaps w:val="0"/>
          <w:color w:val="000000" w:themeColor="text1"/>
          <w:sz w:val="24"/>
          <w:szCs w:val="24"/>
        </w:rPr>
        <w:t>五、财政拨款支出决算明细表</w:t>
      </w:r>
      <w:r>
        <w:rPr>
          <w:rStyle w:val="24"/>
          <w:rFonts w:hint="eastAsia" w:ascii="仿宋" w:hAnsi="Times New Roman" w:eastAsia="仿宋" w:cs="仿宋"/>
          <w:smallCaps w:val="0"/>
          <w:color w:val="000000" w:themeColor="text1"/>
          <w:sz w:val="24"/>
          <w:szCs w:val="24"/>
        </w:rPr>
        <w:tab/>
      </w:r>
      <w:r>
        <w:rPr>
          <w:rStyle w:val="24"/>
          <w:rFonts w:hint="eastAsia" w:ascii="仿宋" w:hAnsi="Times New Roman" w:eastAsia="仿宋" w:cs="仿宋"/>
          <w:smallCaps w:val="0"/>
          <w:color w:val="000000" w:themeColor="text1"/>
          <w:sz w:val="24"/>
          <w:szCs w:val="24"/>
        </w:rPr>
        <w:fldChar w:fldCharType="begin"/>
      </w:r>
      <w:r>
        <w:rPr>
          <w:rStyle w:val="24"/>
          <w:rFonts w:ascii="仿宋" w:hAnsi="Times New Roman" w:eastAsia="仿宋" w:cs="仿宋"/>
          <w:smallCaps w:val="0"/>
          <w:color w:val="000000" w:themeColor="text1"/>
          <w:sz w:val="24"/>
          <w:szCs w:val="24"/>
        </w:rPr>
        <w:instrText xml:space="preserve">PAGEREF _Toc208087299 \h</w:instrText>
      </w:r>
      <w:r>
        <w:rPr>
          <w:rStyle w:val="24"/>
          <w:rFonts w:hint="eastAsia" w:ascii="仿宋" w:hAnsi="Times New Roman" w:eastAsia="仿宋" w:cs="仿宋"/>
          <w:smallCaps w:val="0"/>
          <w:color w:val="000000" w:themeColor="text1"/>
          <w:sz w:val="24"/>
          <w:szCs w:val="24"/>
        </w:rPr>
        <w:fldChar w:fldCharType="separate"/>
      </w:r>
      <w:r>
        <w:rPr>
          <w:rStyle w:val="24"/>
          <w:rFonts w:ascii="仿宋" w:hAnsi="Times New Roman" w:eastAsia="仿宋" w:cs="仿宋"/>
          <w:smallCaps w:val="0"/>
          <w:color w:val="000000" w:themeColor="text1"/>
          <w:sz w:val="24"/>
          <w:szCs w:val="24"/>
        </w:rPr>
        <w:t>39</w:t>
      </w:r>
      <w:r>
        <w:rPr>
          <w:rStyle w:val="24"/>
          <w:rFonts w:hint="eastAsia" w:ascii="仿宋" w:hAnsi="Times New Roman" w:eastAsia="仿宋" w:cs="仿宋"/>
          <w:smallCaps w:val="0"/>
          <w:color w:val="000000" w:themeColor="text1"/>
          <w:sz w:val="24"/>
          <w:szCs w:val="24"/>
        </w:rPr>
        <w:fldChar w:fldCharType="end"/>
      </w:r>
      <w:r>
        <w:rPr>
          <w:rStyle w:val="24"/>
          <w:rFonts w:hint="eastAsia" w:ascii="仿宋" w:hAnsi="Times New Roman" w:eastAsia="仿宋" w:cs="仿宋"/>
          <w:smallCaps w:val="0"/>
          <w:color w:val="000000" w:themeColor="text1"/>
          <w:sz w:val="24"/>
          <w:szCs w:val="24"/>
        </w:rPr>
        <w:fldChar w:fldCharType="end"/>
      </w:r>
    </w:p>
    <w:p>
      <w:pPr>
        <w:pStyle w:val="19"/>
        <w:tabs>
          <w:tab w:val="right" w:leader="dot" w:pos="8296"/>
        </w:tabs>
        <w:rPr>
          <w:rStyle w:val="24"/>
          <w:rFonts w:ascii="仿宋" w:hAnsi="Times New Roman" w:eastAsia="仿宋" w:cs="仿宋"/>
          <w:color w:val="000000" w:themeColor="text1"/>
          <w:sz w:val="24"/>
        </w:rPr>
      </w:pPr>
      <w:r>
        <w:fldChar w:fldCharType="begin"/>
      </w:r>
      <w:r>
        <w:instrText xml:space="preserve"> HYPERLINK \l "_Toc208087300" </w:instrText>
      </w:r>
      <w:r>
        <w:fldChar w:fldCharType="separate"/>
      </w:r>
      <w:r>
        <w:rPr>
          <w:rStyle w:val="24"/>
          <w:rFonts w:hint="eastAsia" w:ascii="仿宋" w:hAnsi="Times New Roman" w:eastAsia="仿宋" w:cs="仿宋"/>
          <w:smallCaps w:val="0"/>
          <w:color w:val="000000" w:themeColor="text1"/>
          <w:sz w:val="24"/>
          <w:szCs w:val="24"/>
        </w:rPr>
        <w:t>六、一般公共预算财政拨款支出决算表</w:t>
      </w:r>
      <w:r>
        <w:rPr>
          <w:rStyle w:val="24"/>
          <w:rFonts w:hint="eastAsia" w:ascii="仿宋" w:hAnsi="Times New Roman" w:eastAsia="仿宋" w:cs="仿宋"/>
          <w:smallCaps w:val="0"/>
          <w:color w:val="000000" w:themeColor="text1"/>
          <w:sz w:val="24"/>
          <w:szCs w:val="24"/>
        </w:rPr>
        <w:tab/>
      </w:r>
      <w:r>
        <w:rPr>
          <w:rStyle w:val="24"/>
          <w:rFonts w:hint="eastAsia" w:ascii="仿宋" w:hAnsi="Times New Roman" w:eastAsia="仿宋" w:cs="仿宋"/>
          <w:smallCaps w:val="0"/>
          <w:color w:val="000000" w:themeColor="text1"/>
          <w:sz w:val="24"/>
          <w:szCs w:val="24"/>
        </w:rPr>
        <w:fldChar w:fldCharType="begin"/>
      </w:r>
      <w:r>
        <w:rPr>
          <w:rStyle w:val="24"/>
          <w:rFonts w:ascii="仿宋" w:hAnsi="Times New Roman" w:eastAsia="仿宋" w:cs="仿宋"/>
          <w:smallCaps w:val="0"/>
          <w:color w:val="000000" w:themeColor="text1"/>
          <w:sz w:val="24"/>
          <w:szCs w:val="24"/>
        </w:rPr>
        <w:instrText xml:space="preserve">PAGEREF _Toc208087300 \h</w:instrText>
      </w:r>
      <w:r>
        <w:rPr>
          <w:rStyle w:val="24"/>
          <w:rFonts w:hint="eastAsia" w:ascii="仿宋" w:hAnsi="Times New Roman" w:eastAsia="仿宋" w:cs="仿宋"/>
          <w:smallCaps w:val="0"/>
          <w:color w:val="000000" w:themeColor="text1"/>
          <w:sz w:val="24"/>
          <w:szCs w:val="24"/>
        </w:rPr>
        <w:fldChar w:fldCharType="separate"/>
      </w:r>
      <w:r>
        <w:rPr>
          <w:rStyle w:val="24"/>
          <w:rFonts w:ascii="仿宋" w:hAnsi="Times New Roman" w:eastAsia="仿宋" w:cs="仿宋"/>
          <w:smallCaps w:val="0"/>
          <w:color w:val="000000" w:themeColor="text1"/>
          <w:sz w:val="24"/>
          <w:szCs w:val="24"/>
        </w:rPr>
        <w:t>39</w:t>
      </w:r>
      <w:r>
        <w:rPr>
          <w:rStyle w:val="24"/>
          <w:rFonts w:hint="eastAsia" w:ascii="仿宋" w:hAnsi="Times New Roman" w:eastAsia="仿宋" w:cs="仿宋"/>
          <w:smallCaps w:val="0"/>
          <w:color w:val="000000" w:themeColor="text1"/>
          <w:sz w:val="24"/>
          <w:szCs w:val="24"/>
        </w:rPr>
        <w:fldChar w:fldCharType="end"/>
      </w:r>
      <w:r>
        <w:rPr>
          <w:rStyle w:val="24"/>
          <w:rFonts w:hint="eastAsia" w:ascii="仿宋" w:hAnsi="Times New Roman" w:eastAsia="仿宋" w:cs="仿宋"/>
          <w:smallCaps w:val="0"/>
          <w:color w:val="000000" w:themeColor="text1"/>
          <w:sz w:val="24"/>
          <w:szCs w:val="24"/>
        </w:rPr>
        <w:fldChar w:fldCharType="end"/>
      </w:r>
    </w:p>
    <w:p>
      <w:pPr>
        <w:pStyle w:val="19"/>
        <w:tabs>
          <w:tab w:val="right" w:leader="dot" w:pos="8296"/>
        </w:tabs>
        <w:rPr>
          <w:rStyle w:val="24"/>
          <w:rFonts w:ascii="仿宋" w:hAnsi="Times New Roman" w:eastAsia="仿宋" w:cs="仿宋"/>
          <w:color w:val="000000" w:themeColor="text1"/>
          <w:sz w:val="24"/>
        </w:rPr>
      </w:pPr>
      <w:r>
        <w:fldChar w:fldCharType="begin"/>
      </w:r>
      <w:r>
        <w:instrText xml:space="preserve"> HYPERLINK \l "_Toc208087301" </w:instrText>
      </w:r>
      <w:r>
        <w:fldChar w:fldCharType="separate"/>
      </w:r>
      <w:r>
        <w:rPr>
          <w:rStyle w:val="24"/>
          <w:rFonts w:hint="eastAsia" w:ascii="仿宋" w:hAnsi="Times New Roman" w:eastAsia="仿宋" w:cs="仿宋"/>
          <w:smallCaps w:val="0"/>
          <w:color w:val="000000" w:themeColor="text1"/>
          <w:sz w:val="24"/>
          <w:szCs w:val="24"/>
        </w:rPr>
        <w:t>七、一般公共预算财政拨款支出决算明细表</w:t>
      </w:r>
      <w:r>
        <w:rPr>
          <w:rStyle w:val="24"/>
          <w:rFonts w:hint="eastAsia" w:ascii="仿宋" w:hAnsi="Times New Roman" w:eastAsia="仿宋" w:cs="仿宋"/>
          <w:smallCaps w:val="0"/>
          <w:color w:val="000000" w:themeColor="text1"/>
          <w:sz w:val="24"/>
          <w:szCs w:val="24"/>
        </w:rPr>
        <w:tab/>
      </w:r>
      <w:r>
        <w:rPr>
          <w:rStyle w:val="24"/>
          <w:rFonts w:hint="eastAsia" w:ascii="仿宋" w:hAnsi="Times New Roman" w:eastAsia="仿宋" w:cs="仿宋"/>
          <w:smallCaps w:val="0"/>
          <w:color w:val="000000" w:themeColor="text1"/>
          <w:sz w:val="24"/>
          <w:szCs w:val="24"/>
        </w:rPr>
        <w:fldChar w:fldCharType="begin"/>
      </w:r>
      <w:r>
        <w:rPr>
          <w:rStyle w:val="24"/>
          <w:rFonts w:ascii="仿宋" w:hAnsi="Times New Roman" w:eastAsia="仿宋" w:cs="仿宋"/>
          <w:smallCaps w:val="0"/>
          <w:color w:val="000000" w:themeColor="text1"/>
          <w:sz w:val="24"/>
          <w:szCs w:val="24"/>
        </w:rPr>
        <w:instrText xml:space="preserve">PAGEREF _Toc208087301 \h</w:instrText>
      </w:r>
      <w:r>
        <w:rPr>
          <w:rStyle w:val="24"/>
          <w:rFonts w:hint="eastAsia" w:ascii="仿宋" w:hAnsi="Times New Roman" w:eastAsia="仿宋" w:cs="仿宋"/>
          <w:smallCaps w:val="0"/>
          <w:color w:val="000000" w:themeColor="text1"/>
          <w:sz w:val="24"/>
          <w:szCs w:val="24"/>
        </w:rPr>
        <w:fldChar w:fldCharType="separate"/>
      </w:r>
      <w:r>
        <w:rPr>
          <w:rStyle w:val="24"/>
          <w:rFonts w:ascii="仿宋" w:hAnsi="Times New Roman" w:eastAsia="仿宋" w:cs="仿宋"/>
          <w:smallCaps w:val="0"/>
          <w:color w:val="000000" w:themeColor="text1"/>
          <w:sz w:val="24"/>
          <w:szCs w:val="24"/>
        </w:rPr>
        <w:t>39</w:t>
      </w:r>
      <w:r>
        <w:rPr>
          <w:rStyle w:val="24"/>
          <w:rFonts w:hint="eastAsia" w:ascii="仿宋" w:hAnsi="Times New Roman" w:eastAsia="仿宋" w:cs="仿宋"/>
          <w:smallCaps w:val="0"/>
          <w:color w:val="000000" w:themeColor="text1"/>
          <w:sz w:val="24"/>
          <w:szCs w:val="24"/>
        </w:rPr>
        <w:fldChar w:fldCharType="end"/>
      </w:r>
      <w:r>
        <w:rPr>
          <w:rStyle w:val="24"/>
          <w:rFonts w:hint="eastAsia" w:ascii="仿宋" w:hAnsi="Times New Roman" w:eastAsia="仿宋" w:cs="仿宋"/>
          <w:smallCaps w:val="0"/>
          <w:color w:val="000000" w:themeColor="text1"/>
          <w:sz w:val="24"/>
          <w:szCs w:val="24"/>
        </w:rPr>
        <w:fldChar w:fldCharType="end"/>
      </w:r>
    </w:p>
    <w:p>
      <w:pPr>
        <w:pStyle w:val="19"/>
        <w:tabs>
          <w:tab w:val="right" w:leader="dot" w:pos="8296"/>
        </w:tabs>
        <w:rPr>
          <w:rStyle w:val="24"/>
          <w:rFonts w:ascii="仿宋" w:hAnsi="Times New Roman" w:eastAsia="仿宋" w:cs="仿宋"/>
          <w:color w:val="000000" w:themeColor="text1"/>
          <w:sz w:val="24"/>
        </w:rPr>
      </w:pPr>
      <w:r>
        <w:fldChar w:fldCharType="begin"/>
      </w:r>
      <w:r>
        <w:instrText xml:space="preserve"> HYPERLINK \l "_Toc208087302" </w:instrText>
      </w:r>
      <w:r>
        <w:fldChar w:fldCharType="separate"/>
      </w:r>
      <w:r>
        <w:rPr>
          <w:rStyle w:val="24"/>
          <w:rFonts w:hint="eastAsia" w:ascii="仿宋" w:hAnsi="Times New Roman" w:eastAsia="仿宋" w:cs="仿宋"/>
          <w:smallCaps w:val="0"/>
          <w:color w:val="000000" w:themeColor="text1"/>
          <w:sz w:val="24"/>
          <w:szCs w:val="24"/>
        </w:rPr>
        <w:t>八、一般公共预算财政拨款基本支出决算表</w:t>
      </w:r>
      <w:r>
        <w:rPr>
          <w:rStyle w:val="24"/>
          <w:rFonts w:hint="eastAsia" w:ascii="仿宋" w:hAnsi="Times New Roman" w:eastAsia="仿宋" w:cs="仿宋"/>
          <w:smallCaps w:val="0"/>
          <w:color w:val="000000" w:themeColor="text1"/>
          <w:sz w:val="24"/>
          <w:szCs w:val="24"/>
        </w:rPr>
        <w:tab/>
      </w:r>
      <w:r>
        <w:rPr>
          <w:rStyle w:val="24"/>
          <w:rFonts w:hint="eastAsia" w:ascii="仿宋" w:hAnsi="Times New Roman" w:eastAsia="仿宋" w:cs="仿宋"/>
          <w:smallCaps w:val="0"/>
          <w:color w:val="000000" w:themeColor="text1"/>
          <w:sz w:val="24"/>
          <w:szCs w:val="24"/>
        </w:rPr>
        <w:fldChar w:fldCharType="begin"/>
      </w:r>
      <w:r>
        <w:rPr>
          <w:rStyle w:val="24"/>
          <w:rFonts w:ascii="仿宋" w:hAnsi="Times New Roman" w:eastAsia="仿宋" w:cs="仿宋"/>
          <w:smallCaps w:val="0"/>
          <w:color w:val="000000" w:themeColor="text1"/>
          <w:sz w:val="24"/>
          <w:szCs w:val="24"/>
        </w:rPr>
        <w:instrText xml:space="preserve">PAGEREF _Toc208087302 \h</w:instrText>
      </w:r>
      <w:r>
        <w:rPr>
          <w:rStyle w:val="24"/>
          <w:rFonts w:hint="eastAsia" w:ascii="仿宋" w:hAnsi="Times New Roman" w:eastAsia="仿宋" w:cs="仿宋"/>
          <w:smallCaps w:val="0"/>
          <w:color w:val="000000" w:themeColor="text1"/>
          <w:sz w:val="24"/>
          <w:szCs w:val="24"/>
        </w:rPr>
        <w:fldChar w:fldCharType="separate"/>
      </w:r>
      <w:r>
        <w:rPr>
          <w:rStyle w:val="24"/>
          <w:rFonts w:ascii="仿宋" w:hAnsi="Times New Roman" w:eastAsia="仿宋" w:cs="仿宋"/>
          <w:smallCaps w:val="0"/>
          <w:color w:val="000000" w:themeColor="text1"/>
          <w:sz w:val="24"/>
          <w:szCs w:val="24"/>
        </w:rPr>
        <w:t>39</w:t>
      </w:r>
      <w:r>
        <w:rPr>
          <w:rStyle w:val="24"/>
          <w:rFonts w:hint="eastAsia" w:ascii="仿宋" w:hAnsi="Times New Roman" w:eastAsia="仿宋" w:cs="仿宋"/>
          <w:smallCaps w:val="0"/>
          <w:color w:val="000000" w:themeColor="text1"/>
          <w:sz w:val="24"/>
          <w:szCs w:val="24"/>
        </w:rPr>
        <w:fldChar w:fldCharType="end"/>
      </w:r>
      <w:r>
        <w:rPr>
          <w:rStyle w:val="24"/>
          <w:rFonts w:hint="eastAsia" w:ascii="仿宋" w:hAnsi="Times New Roman" w:eastAsia="仿宋" w:cs="仿宋"/>
          <w:smallCaps w:val="0"/>
          <w:color w:val="000000" w:themeColor="text1"/>
          <w:sz w:val="24"/>
          <w:szCs w:val="24"/>
        </w:rPr>
        <w:fldChar w:fldCharType="end"/>
      </w:r>
    </w:p>
    <w:p>
      <w:pPr>
        <w:pStyle w:val="19"/>
        <w:tabs>
          <w:tab w:val="right" w:leader="dot" w:pos="8296"/>
        </w:tabs>
        <w:rPr>
          <w:rStyle w:val="24"/>
          <w:rFonts w:ascii="仿宋" w:hAnsi="Times New Roman" w:eastAsia="仿宋" w:cs="仿宋"/>
          <w:color w:val="000000" w:themeColor="text1"/>
          <w:sz w:val="24"/>
        </w:rPr>
      </w:pPr>
      <w:r>
        <w:fldChar w:fldCharType="begin"/>
      </w:r>
      <w:r>
        <w:instrText xml:space="preserve"> HYPERLINK \l "_Toc208087303" </w:instrText>
      </w:r>
      <w:r>
        <w:fldChar w:fldCharType="separate"/>
      </w:r>
      <w:r>
        <w:rPr>
          <w:rStyle w:val="24"/>
          <w:rFonts w:hint="eastAsia" w:ascii="仿宋" w:hAnsi="Times New Roman" w:eastAsia="仿宋" w:cs="仿宋"/>
          <w:smallCaps w:val="0"/>
          <w:color w:val="000000" w:themeColor="text1"/>
          <w:sz w:val="24"/>
          <w:szCs w:val="24"/>
        </w:rPr>
        <w:t>九、一般公共预算财政拨款项目支出决算表</w:t>
      </w:r>
      <w:r>
        <w:rPr>
          <w:rStyle w:val="24"/>
          <w:rFonts w:hint="eastAsia" w:ascii="仿宋" w:hAnsi="Times New Roman" w:eastAsia="仿宋" w:cs="仿宋"/>
          <w:smallCaps w:val="0"/>
          <w:color w:val="000000" w:themeColor="text1"/>
          <w:sz w:val="24"/>
          <w:szCs w:val="24"/>
        </w:rPr>
        <w:tab/>
      </w:r>
      <w:r>
        <w:rPr>
          <w:rStyle w:val="24"/>
          <w:rFonts w:hint="eastAsia" w:ascii="仿宋" w:hAnsi="Times New Roman" w:eastAsia="仿宋" w:cs="仿宋"/>
          <w:smallCaps w:val="0"/>
          <w:color w:val="000000" w:themeColor="text1"/>
          <w:sz w:val="24"/>
          <w:szCs w:val="24"/>
        </w:rPr>
        <w:fldChar w:fldCharType="begin"/>
      </w:r>
      <w:r>
        <w:rPr>
          <w:rStyle w:val="24"/>
          <w:rFonts w:ascii="仿宋" w:hAnsi="Times New Roman" w:eastAsia="仿宋" w:cs="仿宋"/>
          <w:smallCaps w:val="0"/>
          <w:color w:val="000000" w:themeColor="text1"/>
          <w:sz w:val="24"/>
          <w:szCs w:val="24"/>
        </w:rPr>
        <w:instrText xml:space="preserve">PAGEREF _Toc208087303 \h</w:instrText>
      </w:r>
      <w:r>
        <w:rPr>
          <w:rStyle w:val="24"/>
          <w:rFonts w:hint="eastAsia" w:ascii="仿宋" w:hAnsi="Times New Roman" w:eastAsia="仿宋" w:cs="仿宋"/>
          <w:smallCaps w:val="0"/>
          <w:color w:val="000000" w:themeColor="text1"/>
          <w:sz w:val="24"/>
          <w:szCs w:val="24"/>
        </w:rPr>
        <w:fldChar w:fldCharType="separate"/>
      </w:r>
      <w:r>
        <w:rPr>
          <w:rStyle w:val="24"/>
          <w:rFonts w:ascii="仿宋" w:hAnsi="Times New Roman" w:eastAsia="仿宋" w:cs="仿宋"/>
          <w:smallCaps w:val="0"/>
          <w:color w:val="000000" w:themeColor="text1"/>
          <w:sz w:val="24"/>
          <w:szCs w:val="24"/>
        </w:rPr>
        <w:t>39</w:t>
      </w:r>
      <w:r>
        <w:rPr>
          <w:rStyle w:val="24"/>
          <w:rFonts w:hint="eastAsia" w:ascii="仿宋" w:hAnsi="Times New Roman" w:eastAsia="仿宋" w:cs="仿宋"/>
          <w:smallCaps w:val="0"/>
          <w:color w:val="000000" w:themeColor="text1"/>
          <w:sz w:val="24"/>
          <w:szCs w:val="24"/>
        </w:rPr>
        <w:fldChar w:fldCharType="end"/>
      </w:r>
      <w:r>
        <w:rPr>
          <w:rStyle w:val="24"/>
          <w:rFonts w:hint="eastAsia" w:ascii="仿宋" w:hAnsi="Times New Roman" w:eastAsia="仿宋" w:cs="仿宋"/>
          <w:smallCaps w:val="0"/>
          <w:color w:val="000000" w:themeColor="text1"/>
          <w:sz w:val="24"/>
          <w:szCs w:val="24"/>
        </w:rPr>
        <w:fldChar w:fldCharType="end"/>
      </w:r>
    </w:p>
    <w:p>
      <w:pPr>
        <w:pStyle w:val="19"/>
        <w:tabs>
          <w:tab w:val="right" w:leader="dot" w:pos="8296"/>
        </w:tabs>
        <w:rPr>
          <w:rStyle w:val="24"/>
          <w:rFonts w:ascii="仿宋" w:hAnsi="Times New Roman" w:eastAsia="仿宋" w:cs="仿宋"/>
          <w:color w:val="000000" w:themeColor="text1"/>
          <w:sz w:val="24"/>
        </w:rPr>
      </w:pPr>
      <w:r>
        <w:fldChar w:fldCharType="begin"/>
      </w:r>
      <w:r>
        <w:instrText xml:space="preserve"> HYPERLINK \l "_Toc208087304" </w:instrText>
      </w:r>
      <w:r>
        <w:fldChar w:fldCharType="separate"/>
      </w:r>
      <w:r>
        <w:rPr>
          <w:rStyle w:val="24"/>
          <w:rFonts w:hint="eastAsia" w:ascii="仿宋" w:hAnsi="Times New Roman" w:eastAsia="仿宋" w:cs="仿宋"/>
          <w:smallCaps w:val="0"/>
          <w:color w:val="000000" w:themeColor="text1"/>
          <w:sz w:val="24"/>
          <w:szCs w:val="24"/>
        </w:rPr>
        <w:t>十、政府性基金预算财政拨款收入支出决算表</w:t>
      </w:r>
      <w:r>
        <w:rPr>
          <w:rStyle w:val="24"/>
          <w:rFonts w:hint="eastAsia" w:ascii="仿宋" w:hAnsi="Times New Roman" w:eastAsia="仿宋" w:cs="仿宋"/>
          <w:smallCaps w:val="0"/>
          <w:color w:val="000000" w:themeColor="text1"/>
          <w:sz w:val="24"/>
          <w:szCs w:val="24"/>
        </w:rPr>
        <w:tab/>
      </w:r>
      <w:r>
        <w:rPr>
          <w:rStyle w:val="24"/>
          <w:rFonts w:hint="eastAsia" w:ascii="仿宋" w:hAnsi="Times New Roman" w:eastAsia="仿宋" w:cs="仿宋"/>
          <w:smallCaps w:val="0"/>
          <w:color w:val="000000" w:themeColor="text1"/>
          <w:sz w:val="24"/>
          <w:szCs w:val="24"/>
        </w:rPr>
        <w:fldChar w:fldCharType="begin"/>
      </w:r>
      <w:r>
        <w:rPr>
          <w:rStyle w:val="24"/>
          <w:rFonts w:ascii="仿宋" w:hAnsi="Times New Roman" w:eastAsia="仿宋" w:cs="仿宋"/>
          <w:smallCaps w:val="0"/>
          <w:color w:val="000000" w:themeColor="text1"/>
          <w:sz w:val="24"/>
          <w:szCs w:val="24"/>
        </w:rPr>
        <w:instrText xml:space="preserve">PAGEREF _Toc208087304 \h</w:instrText>
      </w:r>
      <w:r>
        <w:rPr>
          <w:rStyle w:val="24"/>
          <w:rFonts w:hint="eastAsia" w:ascii="仿宋" w:hAnsi="Times New Roman" w:eastAsia="仿宋" w:cs="仿宋"/>
          <w:smallCaps w:val="0"/>
          <w:color w:val="000000" w:themeColor="text1"/>
          <w:sz w:val="24"/>
          <w:szCs w:val="24"/>
        </w:rPr>
        <w:fldChar w:fldCharType="separate"/>
      </w:r>
      <w:r>
        <w:rPr>
          <w:rStyle w:val="24"/>
          <w:rFonts w:ascii="仿宋" w:hAnsi="Times New Roman" w:eastAsia="仿宋" w:cs="仿宋"/>
          <w:smallCaps w:val="0"/>
          <w:color w:val="000000" w:themeColor="text1"/>
          <w:sz w:val="24"/>
          <w:szCs w:val="24"/>
        </w:rPr>
        <w:t>39</w:t>
      </w:r>
      <w:r>
        <w:rPr>
          <w:rStyle w:val="24"/>
          <w:rFonts w:hint="eastAsia" w:ascii="仿宋" w:hAnsi="Times New Roman" w:eastAsia="仿宋" w:cs="仿宋"/>
          <w:smallCaps w:val="0"/>
          <w:color w:val="000000" w:themeColor="text1"/>
          <w:sz w:val="24"/>
          <w:szCs w:val="24"/>
        </w:rPr>
        <w:fldChar w:fldCharType="end"/>
      </w:r>
      <w:r>
        <w:rPr>
          <w:rStyle w:val="24"/>
          <w:rFonts w:hint="eastAsia" w:ascii="仿宋" w:hAnsi="Times New Roman" w:eastAsia="仿宋" w:cs="仿宋"/>
          <w:smallCaps w:val="0"/>
          <w:color w:val="000000" w:themeColor="text1"/>
          <w:sz w:val="24"/>
          <w:szCs w:val="24"/>
        </w:rPr>
        <w:fldChar w:fldCharType="end"/>
      </w:r>
    </w:p>
    <w:p>
      <w:pPr>
        <w:pStyle w:val="19"/>
        <w:tabs>
          <w:tab w:val="right" w:leader="dot" w:pos="8296"/>
        </w:tabs>
        <w:rPr>
          <w:rStyle w:val="24"/>
          <w:rFonts w:ascii="仿宋" w:hAnsi="Times New Roman" w:eastAsia="仿宋" w:cs="仿宋"/>
          <w:color w:val="000000" w:themeColor="text1"/>
          <w:sz w:val="24"/>
        </w:rPr>
      </w:pPr>
      <w:r>
        <w:fldChar w:fldCharType="begin"/>
      </w:r>
      <w:r>
        <w:instrText xml:space="preserve"> HYPERLINK \l "_Toc208087305" </w:instrText>
      </w:r>
      <w:r>
        <w:fldChar w:fldCharType="separate"/>
      </w:r>
      <w:r>
        <w:rPr>
          <w:rStyle w:val="24"/>
          <w:rFonts w:hint="eastAsia" w:ascii="仿宋" w:hAnsi="Times New Roman" w:eastAsia="仿宋" w:cs="仿宋"/>
          <w:smallCaps w:val="0"/>
          <w:color w:val="000000" w:themeColor="text1"/>
          <w:sz w:val="24"/>
          <w:szCs w:val="24"/>
        </w:rPr>
        <w:t>十一、国有资本经营预算财政拨款收入支出决算表</w:t>
      </w:r>
      <w:r>
        <w:rPr>
          <w:rStyle w:val="24"/>
          <w:rFonts w:hint="eastAsia" w:ascii="仿宋" w:hAnsi="Times New Roman" w:eastAsia="仿宋" w:cs="仿宋"/>
          <w:smallCaps w:val="0"/>
          <w:color w:val="000000" w:themeColor="text1"/>
          <w:sz w:val="24"/>
          <w:szCs w:val="24"/>
        </w:rPr>
        <w:tab/>
      </w:r>
      <w:r>
        <w:rPr>
          <w:rStyle w:val="24"/>
          <w:rFonts w:hint="eastAsia" w:ascii="仿宋" w:hAnsi="Times New Roman" w:eastAsia="仿宋" w:cs="仿宋"/>
          <w:smallCaps w:val="0"/>
          <w:color w:val="000000" w:themeColor="text1"/>
          <w:sz w:val="24"/>
          <w:szCs w:val="24"/>
        </w:rPr>
        <w:fldChar w:fldCharType="begin"/>
      </w:r>
      <w:r>
        <w:rPr>
          <w:rStyle w:val="24"/>
          <w:rFonts w:ascii="仿宋" w:hAnsi="Times New Roman" w:eastAsia="仿宋" w:cs="仿宋"/>
          <w:smallCaps w:val="0"/>
          <w:color w:val="000000" w:themeColor="text1"/>
          <w:sz w:val="24"/>
          <w:szCs w:val="24"/>
        </w:rPr>
        <w:instrText xml:space="preserve">PAGEREF _Toc208087305 \h</w:instrText>
      </w:r>
      <w:r>
        <w:rPr>
          <w:rStyle w:val="24"/>
          <w:rFonts w:hint="eastAsia" w:ascii="仿宋" w:hAnsi="Times New Roman" w:eastAsia="仿宋" w:cs="仿宋"/>
          <w:smallCaps w:val="0"/>
          <w:color w:val="000000" w:themeColor="text1"/>
          <w:sz w:val="24"/>
          <w:szCs w:val="24"/>
        </w:rPr>
        <w:fldChar w:fldCharType="separate"/>
      </w:r>
      <w:r>
        <w:rPr>
          <w:rStyle w:val="24"/>
          <w:rFonts w:ascii="仿宋" w:hAnsi="Times New Roman" w:eastAsia="仿宋" w:cs="仿宋"/>
          <w:smallCaps w:val="0"/>
          <w:color w:val="000000" w:themeColor="text1"/>
          <w:sz w:val="24"/>
          <w:szCs w:val="24"/>
        </w:rPr>
        <w:t>39</w:t>
      </w:r>
      <w:r>
        <w:rPr>
          <w:rStyle w:val="24"/>
          <w:rFonts w:hint="eastAsia" w:ascii="仿宋" w:hAnsi="Times New Roman" w:eastAsia="仿宋" w:cs="仿宋"/>
          <w:smallCaps w:val="0"/>
          <w:color w:val="000000" w:themeColor="text1"/>
          <w:sz w:val="24"/>
          <w:szCs w:val="24"/>
        </w:rPr>
        <w:fldChar w:fldCharType="end"/>
      </w:r>
      <w:r>
        <w:rPr>
          <w:rStyle w:val="24"/>
          <w:rFonts w:hint="eastAsia" w:ascii="仿宋" w:hAnsi="Times New Roman" w:eastAsia="仿宋" w:cs="仿宋"/>
          <w:smallCaps w:val="0"/>
          <w:color w:val="000000" w:themeColor="text1"/>
          <w:sz w:val="24"/>
          <w:szCs w:val="24"/>
        </w:rPr>
        <w:fldChar w:fldCharType="end"/>
      </w:r>
    </w:p>
    <w:p>
      <w:pPr>
        <w:pStyle w:val="19"/>
        <w:tabs>
          <w:tab w:val="right" w:leader="dot" w:pos="8296"/>
        </w:tabs>
        <w:rPr>
          <w:rStyle w:val="24"/>
          <w:rFonts w:ascii="仿宋" w:hAnsi="Times New Roman" w:eastAsia="仿宋" w:cs="仿宋"/>
          <w:color w:val="000000" w:themeColor="text1"/>
          <w:sz w:val="24"/>
        </w:rPr>
      </w:pPr>
      <w:r>
        <w:fldChar w:fldCharType="begin"/>
      </w:r>
      <w:r>
        <w:instrText xml:space="preserve"> HYPERLINK \l "_Toc208087306" </w:instrText>
      </w:r>
      <w:r>
        <w:fldChar w:fldCharType="separate"/>
      </w:r>
      <w:r>
        <w:rPr>
          <w:rStyle w:val="24"/>
          <w:rFonts w:hint="eastAsia" w:ascii="仿宋" w:hAnsi="Times New Roman" w:eastAsia="仿宋" w:cs="仿宋"/>
          <w:smallCaps w:val="0"/>
          <w:color w:val="000000" w:themeColor="text1"/>
          <w:sz w:val="24"/>
          <w:szCs w:val="24"/>
        </w:rPr>
        <w:t>十二、国有资本经营预算财政拨款支出决算表</w:t>
      </w:r>
      <w:r>
        <w:rPr>
          <w:rStyle w:val="24"/>
          <w:rFonts w:hint="eastAsia" w:ascii="仿宋" w:hAnsi="Times New Roman" w:eastAsia="仿宋" w:cs="仿宋"/>
          <w:smallCaps w:val="0"/>
          <w:color w:val="000000" w:themeColor="text1"/>
          <w:sz w:val="24"/>
          <w:szCs w:val="24"/>
        </w:rPr>
        <w:tab/>
      </w:r>
      <w:r>
        <w:rPr>
          <w:rStyle w:val="24"/>
          <w:rFonts w:hint="eastAsia" w:ascii="仿宋" w:hAnsi="Times New Roman" w:eastAsia="仿宋" w:cs="仿宋"/>
          <w:smallCaps w:val="0"/>
          <w:color w:val="000000" w:themeColor="text1"/>
          <w:sz w:val="24"/>
          <w:szCs w:val="24"/>
        </w:rPr>
        <w:fldChar w:fldCharType="begin"/>
      </w:r>
      <w:r>
        <w:rPr>
          <w:rStyle w:val="24"/>
          <w:rFonts w:ascii="仿宋" w:hAnsi="Times New Roman" w:eastAsia="仿宋" w:cs="仿宋"/>
          <w:smallCaps w:val="0"/>
          <w:color w:val="000000" w:themeColor="text1"/>
          <w:sz w:val="24"/>
          <w:szCs w:val="24"/>
        </w:rPr>
        <w:instrText xml:space="preserve">PAGEREF _Toc208087306 \h</w:instrText>
      </w:r>
      <w:r>
        <w:rPr>
          <w:rStyle w:val="24"/>
          <w:rFonts w:hint="eastAsia" w:ascii="仿宋" w:hAnsi="Times New Roman" w:eastAsia="仿宋" w:cs="仿宋"/>
          <w:smallCaps w:val="0"/>
          <w:color w:val="000000" w:themeColor="text1"/>
          <w:sz w:val="24"/>
          <w:szCs w:val="24"/>
        </w:rPr>
        <w:fldChar w:fldCharType="separate"/>
      </w:r>
      <w:r>
        <w:rPr>
          <w:rStyle w:val="24"/>
          <w:rFonts w:ascii="仿宋" w:hAnsi="Times New Roman" w:eastAsia="仿宋" w:cs="仿宋"/>
          <w:smallCaps w:val="0"/>
          <w:color w:val="000000" w:themeColor="text1"/>
          <w:sz w:val="24"/>
          <w:szCs w:val="24"/>
        </w:rPr>
        <w:t>39</w:t>
      </w:r>
      <w:r>
        <w:rPr>
          <w:rStyle w:val="24"/>
          <w:rFonts w:hint="eastAsia" w:ascii="仿宋" w:hAnsi="Times New Roman" w:eastAsia="仿宋" w:cs="仿宋"/>
          <w:smallCaps w:val="0"/>
          <w:color w:val="000000" w:themeColor="text1"/>
          <w:sz w:val="24"/>
          <w:szCs w:val="24"/>
        </w:rPr>
        <w:fldChar w:fldCharType="end"/>
      </w:r>
      <w:r>
        <w:rPr>
          <w:rStyle w:val="24"/>
          <w:rFonts w:hint="eastAsia" w:ascii="仿宋" w:hAnsi="Times New Roman" w:eastAsia="仿宋" w:cs="仿宋"/>
          <w:smallCaps w:val="0"/>
          <w:color w:val="000000" w:themeColor="text1"/>
          <w:sz w:val="24"/>
          <w:szCs w:val="24"/>
        </w:rPr>
        <w:fldChar w:fldCharType="end"/>
      </w:r>
    </w:p>
    <w:p>
      <w:pPr>
        <w:pStyle w:val="19"/>
        <w:tabs>
          <w:tab w:val="right" w:leader="dot" w:pos="8296"/>
        </w:tabs>
        <w:rPr>
          <w:rStyle w:val="24"/>
          <w:rFonts w:ascii="仿宋" w:hAnsi="Times New Roman" w:eastAsia="仿宋" w:cs="仿宋"/>
          <w:color w:val="000000" w:themeColor="text1"/>
          <w:sz w:val="24"/>
        </w:rPr>
      </w:pPr>
      <w:r>
        <w:fldChar w:fldCharType="begin"/>
      </w:r>
      <w:r>
        <w:instrText xml:space="preserve"> HYPERLINK \l "_Toc208087307" </w:instrText>
      </w:r>
      <w:r>
        <w:fldChar w:fldCharType="separate"/>
      </w:r>
      <w:r>
        <w:rPr>
          <w:rStyle w:val="24"/>
          <w:rFonts w:hint="eastAsia" w:ascii="仿宋" w:hAnsi="Times New Roman" w:eastAsia="仿宋" w:cs="仿宋"/>
          <w:smallCaps w:val="0"/>
          <w:color w:val="000000" w:themeColor="text1"/>
          <w:sz w:val="24"/>
          <w:szCs w:val="24"/>
        </w:rPr>
        <w:t>十三、财政拨款“三公”经费支出决算表</w:t>
      </w:r>
      <w:r>
        <w:rPr>
          <w:rStyle w:val="24"/>
          <w:rFonts w:hint="eastAsia" w:ascii="仿宋" w:hAnsi="Times New Roman" w:eastAsia="仿宋" w:cs="仿宋"/>
          <w:smallCaps w:val="0"/>
          <w:color w:val="000000" w:themeColor="text1"/>
          <w:sz w:val="24"/>
          <w:szCs w:val="24"/>
        </w:rPr>
        <w:tab/>
      </w:r>
      <w:r>
        <w:rPr>
          <w:rStyle w:val="24"/>
          <w:rFonts w:hint="eastAsia" w:ascii="仿宋" w:hAnsi="Times New Roman" w:eastAsia="仿宋" w:cs="仿宋"/>
          <w:smallCaps w:val="0"/>
          <w:color w:val="000000" w:themeColor="text1"/>
          <w:sz w:val="24"/>
          <w:szCs w:val="24"/>
        </w:rPr>
        <w:fldChar w:fldCharType="begin"/>
      </w:r>
      <w:r>
        <w:rPr>
          <w:rStyle w:val="24"/>
          <w:rFonts w:ascii="仿宋" w:hAnsi="Times New Roman" w:eastAsia="仿宋" w:cs="仿宋"/>
          <w:smallCaps w:val="0"/>
          <w:color w:val="000000" w:themeColor="text1"/>
          <w:sz w:val="24"/>
          <w:szCs w:val="24"/>
        </w:rPr>
        <w:instrText xml:space="preserve">PAGEREF _Toc208087307 \h</w:instrText>
      </w:r>
      <w:r>
        <w:rPr>
          <w:rStyle w:val="24"/>
          <w:rFonts w:hint="eastAsia" w:ascii="仿宋" w:hAnsi="Times New Roman" w:eastAsia="仿宋" w:cs="仿宋"/>
          <w:smallCaps w:val="0"/>
          <w:color w:val="000000" w:themeColor="text1"/>
          <w:sz w:val="24"/>
          <w:szCs w:val="24"/>
        </w:rPr>
        <w:fldChar w:fldCharType="separate"/>
      </w:r>
      <w:r>
        <w:rPr>
          <w:rStyle w:val="24"/>
          <w:rFonts w:ascii="仿宋" w:hAnsi="Times New Roman" w:eastAsia="仿宋" w:cs="仿宋"/>
          <w:smallCaps w:val="0"/>
          <w:color w:val="000000" w:themeColor="text1"/>
          <w:sz w:val="24"/>
          <w:szCs w:val="24"/>
        </w:rPr>
        <w:t>39</w:t>
      </w:r>
      <w:r>
        <w:rPr>
          <w:rStyle w:val="24"/>
          <w:rFonts w:hint="eastAsia" w:ascii="仿宋" w:hAnsi="Times New Roman" w:eastAsia="仿宋" w:cs="仿宋"/>
          <w:smallCaps w:val="0"/>
          <w:color w:val="000000" w:themeColor="text1"/>
          <w:sz w:val="24"/>
          <w:szCs w:val="24"/>
        </w:rPr>
        <w:fldChar w:fldCharType="end"/>
      </w:r>
      <w:r>
        <w:rPr>
          <w:rStyle w:val="24"/>
          <w:rFonts w:hint="eastAsia" w:ascii="仿宋" w:hAnsi="Times New Roman" w:eastAsia="仿宋" w:cs="仿宋"/>
          <w:smallCaps w:val="0"/>
          <w:color w:val="000000" w:themeColor="text1"/>
          <w:sz w:val="24"/>
          <w:szCs w:val="24"/>
        </w:rPr>
        <w:fldChar w:fldCharType="end"/>
      </w:r>
    </w:p>
    <w:p>
      <w:pPr>
        <w:pStyle w:val="2"/>
      </w:pPr>
      <w:r>
        <w:fldChar w:fldCharType="end"/>
      </w:r>
    </w:p>
    <w:p>
      <w:pPr>
        <w:pStyle w:val="19"/>
        <w:adjustRightInd w:val="0"/>
        <w:snapToGrid w:val="0"/>
        <w:spacing w:line="560" w:lineRule="exact"/>
        <w:ind w:left="0" w:firstLine="642" w:firstLineChars="200"/>
        <w:rPr>
          <w:rFonts w:eastAsia="仿宋_GB2312" w:cs="仿宋_GB2312"/>
          <w:b/>
          <w:bCs/>
          <w:sz w:val="32"/>
          <w:szCs w:val="32"/>
        </w:rPr>
      </w:pPr>
      <w:r>
        <w:rPr>
          <w:rFonts w:hint="eastAsia" w:eastAsia="仿宋_GB2312" w:cs="仿宋_GB2312"/>
          <w:b/>
          <w:bCs/>
          <w:sz w:val="32"/>
          <w:szCs w:val="32"/>
        </w:rPr>
        <w:t>（注：请部门根据实际注明页码）</w:t>
      </w:r>
    </w:p>
    <w:p>
      <w:pPr>
        <w:pStyle w:val="3"/>
        <w:ind w:left="420"/>
      </w:pPr>
    </w:p>
    <w:p>
      <w:pPr>
        <w:pStyle w:val="3"/>
        <w:ind w:left="0" w:leftChars="0" w:firstLine="0" w:firstLineChars="0"/>
      </w:pPr>
    </w:p>
    <w:p>
      <w:pPr>
        <w:pStyle w:val="5"/>
        <w:jc w:val="center"/>
        <w:rPr>
          <w:rFonts w:eastAsia="黑体"/>
          <w:bCs w:val="0"/>
        </w:rPr>
      </w:pPr>
      <w:bookmarkStart w:id="18" w:name="_Toc208085670"/>
      <w:bookmarkStart w:id="19" w:name="_Toc208087279"/>
      <w:r>
        <w:rPr>
          <w:rFonts w:hint="eastAsia" w:eastAsia="黑体"/>
          <w:b w:val="0"/>
        </w:rPr>
        <w:t>第一部分</w:t>
      </w:r>
      <w:r>
        <w:rPr>
          <w:rFonts w:hint="eastAsia" w:eastAsia="黑体"/>
          <w:bCs w:val="0"/>
        </w:rPr>
        <w:t>部门概况</w:t>
      </w:r>
      <w:bookmarkEnd w:id="16"/>
      <w:bookmarkEnd w:id="17"/>
      <w:bookmarkEnd w:id="18"/>
      <w:bookmarkEnd w:id="19"/>
    </w:p>
    <w:p>
      <w:pPr>
        <w:pStyle w:val="6"/>
        <w:rPr>
          <w:rFonts w:ascii="Times New Roman" w:hAnsi="Times New Roman" w:eastAsia="黑体"/>
          <w:b w:val="0"/>
        </w:rPr>
      </w:pPr>
      <w:bookmarkStart w:id="20" w:name="_Toc208085671"/>
      <w:bookmarkStart w:id="21" w:name="_Toc208087280"/>
      <w:r>
        <w:rPr>
          <w:rFonts w:hint="eastAsia" w:ascii="Times New Roman" w:hAnsi="Times New Roman" w:eastAsia="黑体"/>
          <w:b w:val="0"/>
        </w:rPr>
        <w:t>一、部门职责</w:t>
      </w:r>
      <w:bookmarkEnd w:id="20"/>
      <w:bookmarkEnd w:id="21"/>
    </w:p>
    <w:p>
      <w:pPr>
        <w:spacing w:line="600" w:lineRule="exact"/>
        <w:ind w:firstLine="640" w:firstLineChars="200"/>
        <w:rPr>
          <w:rFonts w:ascii="仿宋" w:eastAsia="仿宋"/>
          <w:bCs/>
          <w:color w:val="000000"/>
          <w:sz w:val="32"/>
          <w:szCs w:val="32"/>
        </w:rPr>
      </w:pPr>
      <w:r>
        <w:rPr>
          <w:rFonts w:hint="eastAsia" w:ascii="仿宋" w:eastAsia="仿宋"/>
          <w:bCs/>
          <w:color w:val="000000"/>
          <w:sz w:val="32"/>
          <w:szCs w:val="32"/>
        </w:rPr>
        <w:t>主要职能。实施九年义务教育初中，小学阶段的义务教育，促进基础教育发展。</w:t>
      </w:r>
    </w:p>
    <w:p>
      <w:pPr>
        <w:spacing w:line="600" w:lineRule="exact"/>
        <w:ind w:firstLine="640" w:firstLineChars="200"/>
        <w:rPr>
          <w:rFonts w:ascii="仿宋" w:eastAsia="仿宋"/>
          <w:bCs/>
          <w:color w:val="000000"/>
          <w:sz w:val="32"/>
          <w:szCs w:val="32"/>
        </w:rPr>
      </w:pPr>
      <w:r>
        <w:rPr>
          <w:rFonts w:hint="eastAsia" w:ascii="仿宋" w:eastAsia="仿宋"/>
          <w:bCs/>
          <w:color w:val="000000"/>
          <w:sz w:val="32"/>
          <w:szCs w:val="32"/>
        </w:rPr>
        <w:t>（</w:t>
      </w:r>
      <w:r>
        <w:rPr>
          <w:rFonts w:ascii="仿宋" w:eastAsia="仿宋"/>
          <w:bCs/>
          <w:color w:val="000000"/>
          <w:sz w:val="32"/>
          <w:szCs w:val="32"/>
        </w:rPr>
        <w:t>1</w:t>
      </w:r>
      <w:r>
        <w:rPr>
          <w:rFonts w:hint="eastAsia" w:ascii="仿宋" w:eastAsia="仿宋"/>
          <w:bCs/>
          <w:color w:val="000000"/>
          <w:sz w:val="32"/>
          <w:szCs w:val="32"/>
        </w:rPr>
        <w:t>）宣传贯彻执行党和国家的教育方针、政策、法律法规等，坚持依法治教、依法治学，贯彻执行攀枝花市教育和体育局的行政规章制度。</w:t>
      </w:r>
    </w:p>
    <w:p>
      <w:pPr>
        <w:spacing w:line="600" w:lineRule="exact"/>
        <w:ind w:firstLine="640" w:firstLineChars="200"/>
        <w:rPr>
          <w:rFonts w:ascii="仿宋" w:eastAsia="仿宋"/>
          <w:bCs/>
          <w:color w:val="000000"/>
          <w:sz w:val="32"/>
          <w:szCs w:val="32"/>
        </w:rPr>
      </w:pPr>
      <w:r>
        <w:rPr>
          <w:rFonts w:hint="eastAsia" w:ascii="仿宋" w:eastAsia="仿宋"/>
          <w:bCs/>
          <w:color w:val="000000"/>
          <w:sz w:val="32"/>
          <w:szCs w:val="32"/>
        </w:rPr>
        <w:t>（</w:t>
      </w:r>
      <w:r>
        <w:rPr>
          <w:rFonts w:ascii="仿宋" w:eastAsia="仿宋"/>
          <w:bCs/>
          <w:color w:val="000000"/>
          <w:sz w:val="32"/>
          <w:szCs w:val="32"/>
        </w:rPr>
        <w:t>2</w:t>
      </w:r>
      <w:r>
        <w:rPr>
          <w:rFonts w:hint="eastAsia" w:ascii="仿宋" w:eastAsia="仿宋"/>
          <w:bCs/>
          <w:color w:val="000000"/>
          <w:sz w:val="32"/>
          <w:szCs w:val="32"/>
        </w:rPr>
        <w:t>）配合攀枝花市教育和体育局制定符合党的教育方针和国家教育法律法规以及本校实际的教育发展规划和学校布局调整规划，并抓好组织实施和落实工作。</w:t>
      </w:r>
    </w:p>
    <w:p>
      <w:pPr>
        <w:spacing w:line="600" w:lineRule="exact"/>
        <w:ind w:firstLine="640" w:firstLineChars="200"/>
        <w:rPr>
          <w:rFonts w:ascii="仿宋" w:eastAsia="仿宋"/>
          <w:bCs/>
          <w:color w:val="000000"/>
          <w:sz w:val="32"/>
          <w:szCs w:val="32"/>
        </w:rPr>
      </w:pPr>
      <w:r>
        <w:rPr>
          <w:rFonts w:hint="eastAsia" w:ascii="仿宋" w:eastAsia="仿宋"/>
          <w:bCs/>
          <w:color w:val="000000"/>
          <w:sz w:val="32"/>
          <w:szCs w:val="32"/>
        </w:rPr>
        <w:t>（</w:t>
      </w:r>
      <w:r>
        <w:rPr>
          <w:rFonts w:ascii="仿宋" w:eastAsia="仿宋"/>
          <w:bCs/>
          <w:color w:val="000000"/>
          <w:sz w:val="32"/>
          <w:szCs w:val="32"/>
        </w:rPr>
        <w:t>3</w:t>
      </w:r>
      <w:r>
        <w:rPr>
          <w:rFonts w:hint="eastAsia" w:ascii="仿宋" w:eastAsia="仿宋"/>
          <w:bCs/>
          <w:color w:val="000000"/>
          <w:sz w:val="32"/>
          <w:szCs w:val="32"/>
        </w:rPr>
        <w:t>）巩固提高“两基”工作成果和整体水平，配合各级人民政府依法动员、组织适龄儿童少年入学，严格控制辍学。负责抓所在乡镇的成人教育工作，抓好扫盲和巩固工作，推进普及义务教育。</w:t>
      </w:r>
      <w:bookmarkStart w:id="22" w:name="_Toc15396601"/>
      <w:bookmarkStart w:id="23" w:name="_Toc15377200"/>
    </w:p>
    <w:p>
      <w:pPr>
        <w:pStyle w:val="6"/>
        <w:rPr>
          <w:rFonts w:ascii="Times New Roman" w:hAnsi="Times New Roman" w:eastAsia="黑体"/>
          <w:b w:val="0"/>
        </w:rPr>
      </w:pPr>
      <w:bookmarkStart w:id="24" w:name="_Toc208085672"/>
      <w:bookmarkStart w:id="25" w:name="_Toc208087281"/>
      <w:r>
        <w:rPr>
          <w:rFonts w:hint="eastAsia" w:ascii="Times New Roman" w:hAnsi="Times New Roman" w:eastAsia="黑体"/>
          <w:b w:val="0"/>
        </w:rPr>
        <w:t>二、机构设置</w:t>
      </w:r>
      <w:bookmarkEnd w:id="22"/>
      <w:bookmarkEnd w:id="23"/>
      <w:bookmarkEnd w:id="24"/>
      <w:bookmarkEnd w:id="25"/>
    </w:p>
    <w:p>
      <w:pPr>
        <w:spacing w:line="600" w:lineRule="exact"/>
        <w:ind w:firstLine="640" w:firstLineChars="200"/>
        <w:rPr>
          <w:rFonts w:ascii="仿宋" w:eastAsia="仿宋"/>
          <w:bCs/>
          <w:color w:val="000000"/>
          <w:sz w:val="32"/>
          <w:szCs w:val="32"/>
        </w:rPr>
      </w:pPr>
      <w:r>
        <w:rPr>
          <w:rFonts w:hint="eastAsia" w:ascii="仿宋" w:eastAsia="仿宋"/>
          <w:bCs/>
          <w:color w:val="000000"/>
          <w:kern w:val="0"/>
          <w:sz w:val="32"/>
          <w:szCs w:val="32"/>
        </w:rPr>
        <w:t>四川省攀枝花市仁和区金江中小学下属二级预算单位1个，其中行政单位0个，参照公务员法管理的事业单位0个，其他事业单位1个。</w:t>
      </w:r>
    </w:p>
    <w:p>
      <w:pPr>
        <w:pStyle w:val="9"/>
        <w:adjustRightInd w:val="0"/>
        <w:snapToGrid w:val="0"/>
        <w:spacing w:before="93" w:line="600" w:lineRule="exact"/>
        <w:ind w:firstLine="672" w:firstLineChars="210"/>
        <w:rPr>
          <w:rFonts w:ascii="仿宋" w:eastAsia="仿宋"/>
          <w:bCs/>
          <w:color w:val="000000"/>
          <w:sz w:val="32"/>
          <w:szCs w:val="32"/>
        </w:rPr>
      </w:pPr>
      <w:r>
        <w:rPr>
          <w:rFonts w:hint="eastAsia" w:ascii="仿宋" w:eastAsia="仿宋"/>
          <w:bCs/>
          <w:color w:val="000000"/>
          <w:sz w:val="32"/>
          <w:szCs w:val="32"/>
        </w:rPr>
        <w:t>纳入</w:t>
      </w:r>
      <w:r>
        <w:rPr>
          <w:rFonts w:ascii="仿宋" w:eastAsia="仿宋"/>
          <w:bCs/>
          <w:color w:val="000000"/>
          <w:sz w:val="32"/>
          <w:szCs w:val="32"/>
        </w:rPr>
        <w:t>四川省攀枝花市仁和区金江中小学</w:t>
      </w:r>
      <w:r>
        <w:rPr>
          <w:rFonts w:hint="eastAsia" w:ascii="仿宋" w:eastAsia="仿宋"/>
          <w:bCs/>
          <w:color w:val="000000"/>
          <w:sz w:val="32"/>
          <w:szCs w:val="32"/>
        </w:rPr>
        <w:t>2024年度部门决算编制范围的二级预算单位包括：</w:t>
      </w:r>
      <w:bookmarkStart w:id="26" w:name="_Toc15378449"/>
      <w:bookmarkStart w:id="27" w:name="_Toc15377202"/>
      <w:bookmarkStart w:id="28" w:name="_Toc15306276"/>
      <w:bookmarkStart w:id="29" w:name="_Toc15377433"/>
    </w:p>
    <w:p>
      <w:pPr>
        <w:pStyle w:val="9"/>
        <w:adjustRightInd w:val="0"/>
        <w:snapToGrid w:val="0"/>
        <w:spacing w:before="93" w:line="600" w:lineRule="exact"/>
        <w:ind w:firstLine="672" w:firstLineChars="210"/>
        <w:rPr>
          <w:rFonts w:ascii="仿宋" w:eastAsia="仿宋"/>
          <w:bCs/>
          <w:color w:val="000000"/>
          <w:sz w:val="32"/>
          <w:szCs w:val="32"/>
        </w:rPr>
      </w:pPr>
      <w:r>
        <w:rPr>
          <w:rFonts w:hint="eastAsia" w:ascii="仿宋" w:eastAsia="仿宋"/>
          <w:bCs/>
          <w:color w:val="000000"/>
          <w:sz w:val="32"/>
          <w:szCs w:val="32"/>
        </w:rPr>
        <w:t>1.</w:t>
      </w:r>
      <w:r>
        <w:rPr>
          <w:rFonts w:ascii="仿宋" w:hAnsi="仿宋" w:eastAsia="仿宋"/>
          <w:sz w:val="32"/>
          <w:szCs w:val="32"/>
        </w:rPr>
        <w:t>攀枝花市</w:t>
      </w:r>
      <w:r>
        <w:rPr>
          <w:rFonts w:hint="eastAsia" w:ascii="仿宋" w:hAnsi="仿宋" w:eastAsia="仿宋"/>
          <w:sz w:val="32"/>
          <w:szCs w:val="32"/>
        </w:rPr>
        <w:t>仁和区金江中小学（本级）</w:t>
      </w:r>
      <w:bookmarkEnd w:id="26"/>
      <w:bookmarkEnd w:id="27"/>
      <w:bookmarkEnd w:id="28"/>
      <w:bookmarkEnd w:id="29"/>
      <w:bookmarkStart w:id="30" w:name="_Toc15396602"/>
      <w:bookmarkStart w:id="31" w:name="_Toc15377204"/>
    </w:p>
    <w:p>
      <w:pPr>
        <w:pStyle w:val="5"/>
        <w:jc w:val="center"/>
        <w:rPr>
          <w:rFonts w:eastAsia="黑体"/>
          <w:b w:val="0"/>
        </w:rPr>
      </w:pPr>
      <w:bookmarkStart w:id="32" w:name="_Toc208085673"/>
      <w:bookmarkStart w:id="33" w:name="_Toc208087282"/>
      <w:r>
        <w:rPr>
          <w:rFonts w:hint="eastAsia" w:eastAsia="黑体"/>
          <w:b w:val="0"/>
        </w:rPr>
        <w:t>第二部分2024年度部门决算情况说明</w:t>
      </w:r>
      <w:bookmarkEnd w:id="30"/>
      <w:bookmarkEnd w:id="31"/>
      <w:bookmarkEnd w:id="32"/>
      <w:bookmarkEnd w:id="33"/>
    </w:p>
    <w:p>
      <w:pPr>
        <w:pStyle w:val="33"/>
        <w:spacing w:line="600" w:lineRule="exact"/>
        <w:ind w:firstLine="640"/>
        <w:outlineLvl w:val="1"/>
        <w:rPr>
          <w:rStyle w:val="35"/>
          <w:rFonts w:ascii="Times New Roman" w:hAnsi="Times New Roman" w:eastAsia="黑体"/>
          <w:b w:val="0"/>
        </w:rPr>
      </w:pPr>
      <w:bookmarkStart w:id="34" w:name="_Toc15377205"/>
      <w:bookmarkStart w:id="35" w:name="_Toc208087283"/>
      <w:bookmarkStart w:id="36" w:name="_Toc208085674"/>
      <w:bookmarkStart w:id="37" w:name="_Toc15396603"/>
      <w:r>
        <w:rPr>
          <w:rFonts w:hint="eastAsia" w:eastAsia="黑体"/>
          <w:sz w:val="32"/>
          <w:szCs w:val="32"/>
        </w:rPr>
        <w:t>一、收</w:t>
      </w:r>
      <w:r>
        <w:rPr>
          <w:rStyle w:val="35"/>
          <w:rFonts w:hint="eastAsia" w:ascii="Times New Roman" w:hAnsi="Times New Roman" w:eastAsia="黑体"/>
          <w:b w:val="0"/>
        </w:rPr>
        <w:t>入支出决算总体情况说明</w:t>
      </w:r>
      <w:bookmarkEnd w:id="34"/>
      <w:bookmarkEnd w:id="35"/>
      <w:bookmarkEnd w:id="36"/>
      <w:bookmarkEnd w:id="37"/>
    </w:p>
    <w:p>
      <w:pPr>
        <w:autoSpaceDE w:val="0"/>
        <w:autoSpaceDN w:val="0"/>
        <w:ind w:firstLine="640" w:firstLineChars="200"/>
        <w:rPr>
          <w:rFonts w:ascii="仿宋" w:eastAsia="仿宋"/>
          <w:bCs/>
          <w:color w:val="000000"/>
          <w:kern w:val="0"/>
          <w:sz w:val="32"/>
          <w:szCs w:val="32"/>
        </w:rPr>
      </w:pPr>
      <w:r>
        <w:rPr>
          <w:rFonts w:hint="eastAsia" w:ascii="仿宋" w:eastAsia="仿宋"/>
          <w:bCs/>
          <w:color w:val="000000"/>
          <w:kern w:val="0"/>
          <w:sz w:val="32"/>
          <w:szCs w:val="32"/>
        </w:rPr>
        <w:t>2024年度收入、支出总计均为1953.43万元。与2023年度相比，收入、支出总计各减少74.94万元，下降3.69%。主要变动原因是学生减少,相关收支减少。</w:t>
      </w:r>
    </w:p>
    <w:p>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pPr>
        <w:ind w:firstLine="640" w:firstLineChars="200"/>
        <w:rPr>
          <w:rFonts w:eastAsia="黑体"/>
          <w:sz w:val="32"/>
          <w:szCs w:val="32"/>
        </w:rPr>
      </w:pPr>
      <w:r>
        <w:rPr>
          <w:rFonts w:eastAsia="仿宋_GB2312" w:cs="仿宋_GB2312"/>
          <w:sz w:val="32"/>
          <w:szCs w:val="32"/>
        </w:rPr>
        <w:drawing>
          <wp:inline distT="0" distB="0" distL="0" distR="0">
            <wp:extent cx="3714750" cy="1898650"/>
            <wp:effectExtent l="0" t="0" r="0" b="0"/>
            <wp:docPr id="904367543"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38" w:name="_Toc15377206"/>
      <w:bookmarkStart w:id="39" w:name="_Toc15396604"/>
    </w:p>
    <w:p>
      <w:pPr>
        <w:pStyle w:val="6"/>
        <w:ind w:firstLine="640" w:firstLineChars="200"/>
        <w:rPr>
          <w:rFonts w:ascii="Times New Roman" w:hAnsi="Times New Roman" w:eastAsia="黑体"/>
          <w:b w:val="0"/>
        </w:rPr>
      </w:pPr>
      <w:bookmarkStart w:id="40" w:name="_Toc208087284"/>
      <w:bookmarkStart w:id="41" w:name="_Toc208085675"/>
      <w:r>
        <w:rPr>
          <w:rFonts w:hint="eastAsia" w:ascii="Times New Roman" w:hAnsi="Times New Roman" w:eastAsia="黑体"/>
          <w:b w:val="0"/>
        </w:rPr>
        <w:t>二、收入决算情况说</w:t>
      </w:r>
      <w:bookmarkEnd w:id="38"/>
      <w:bookmarkEnd w:id="39"/>
      <w:r>
        <w:rPr>
          <w:rFonts w:hint="eastAsia" w:ascii="Times New Roman" w:hAnsi="Times New Roman" w:eastAsia="黑体"/>
          <w:b w:val="0"/>
        </w:rPr>
        <w:t>明</w:t>
      </w:r>
      <w:bookmarkEnd w:id="40"/>
      <w:bookmarkEnd w:id="41"/>
    </w:p>
    <w:p>
      <w:pPr>
        <w:ind w:firstLine="640" w:firstLineChars="200"/>
        <w:rPr>
          <w:rFonts w:eastAsia="仿宋_GB2312" w:cs="仿宋_GB2312"/>
          <w:sz w:val="32"/>
          <w:szCs w:val="32"/>
        </w:rPr>
      </w:pPr>
      <w:r>
        <w:rPr>
          <w:rFonts w:hint="eastAsia" w:ascii="仿宋" w:eastAsia="仿宋"/>
          <w:bCs/>
          <w:color w:val="000000"/>
          <w:kern w:val="0"/>
          <w:sz w:val="32"/>
          <w:szCs w:val="32"/>
        </w:rPr>
        <w:t>2024年度本年收入合计1927.94万元，其中：一般公共预算财政拨款收入1903.98万元，占98.75%；政府性基金预算财政拨款收入0万元，占0%；国有资本经营预算财政拨款收入0万元，占0%；上级补助收入0万元，占0%；事业收入0万元，占0%；经营收入0万元，占0%；附属单位上缴收入0万元，占0%；其他收入23.96万元，占1.24%。（注：仅罗列本部门涉及的收入）</w:t>
      </w:r>
    </w:p>
    <w:p>
      <w:pPr>
        <w:ind w:firstLine="800" w:firstLineChars="250"/>
        <w:rPr>
          <w:rFonts w:ascii="仿宋" w:eastAsia="仿宋"/>
          <w:bCs/>
          <w:color w:val="000000"/>
          <w:kern w:val="0"/>
          <w:sz w:val="32"/>
          <w:szCs w:val="32"/>
        </w:rPr>
      </w:pPr>
      <w:r>
        <w:rPr>
          <w:rFonts w:hint="eastAsia" w:ascii="仿宋" w:eastAsia="仿宋"/>
          <w:bCs/>
          <w:color w:val="000000"/>
          <w:kern w:val="0"/>
          <w:sz w:val="32"/>
          <w:szCs w:val="32"/>
        </w:rPr>
        <w:t>（图2：收入决算结构图）（饼状图）</w:t>
      </w:r>
    </w:p>
    <w:p>
      <w:pPr>
        <w:ind w:firstLine="800" w:firstLineChars="250"/>
        <w:rPr>
          <w:rFonts w:eastAsia="仿宋_GB2312" w:cs="仿宋_GB2312"/>
          <w:sz w:val="32"/>
          <w:szCs w:val="32"/>
        </w:rPr>
      </w:pPr>
      <w:r>
        <w:rPr>
          <w:rFonts w:eastAsia="仿宋_GB2312" w:cs="仿宋_GB2312"/>
          <w:sz w:val="32"/>
          <w:szCs w:val="32"/>
        </w:rPr>
        <w:drawing>
          <wp:inline distT="0" distB="0" distL="0" distR="0">
            <wp:extent cx="3975100" cy="2082800"/>
            <wp:effectExtent l="0" t="0" r="0" b="0"/>
            <wp:docPr id="1616054197"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42" w:name="_Toc15377207"/>
      <w:bookmarkStart w:id="43" w:name="_Toc15396605"/>
    </w:p>
    <w:p>
      <w:pPr>
        <w:pStyle w:val="6"/>
        <w:ind w:firstLine="640" w:firstLineChars="200"/>
        <w:rPr>
          <w:bCs w:val="0"/>
        </w:rPr>
      </w:pPr>
      <w:bookmarkStart w:id="44" w:name="_Toc208087285"/>
      <w:bookmarkStart w:id="45" w:name="_Toc208085676"/>
      <w:r>
        <w:rPr>
          <w:rFonts w:hint="eastAsia" w:ascii="Times New Roman" w:hAnsi="Times New Roman" w:eastAsia="黑体"/>
          <w:b w:val="0"/>
        </w:rPr>
        <w:t>三、</w:t>
      </w:r>
      <w:r>
        <w:rPr>
          <w:rFonts w:hint="eastAsia" w:ascii="黑体" w:hAnsi="黑体" w:eastAsia="黑体"/>
          <w:b w:val="0"/>
        </w:rPr>
        <w:t>支</w:t>
      </w:r>
      <w:r>
        <w:rPr>
          <w:rFonts w:hint="eastAsia" w:ascii="黑体" w:hAnsi="黑体" w:eastAsia="黑体"/>
          <w:bCs w:val="0"/>
        </w:rPr>
        <w:t>出决算情况说明</w:t>
      </w:r>
      <w:bookmarkEnd w:id="42"/>
      <w:bookmarkEnd w:id="43"/>
      <w:bookmarkEnd w:id="44"/>
      <w:bookmarkEnd w:id="45"/>
    </w:p>
    <w:p>
      <w:pPr>
        <w:ind w:firstLine="800" w:firstLineChars="250"/>
        <w:rPr>
          <w:rFonts w:eastAsia="仿宋_GB2312" w:cs="仿宋_GB2312"/>
          <w:sz w:val="32"/>
          <w:szCs w:val="32"/>
        </w:rPr>
      </w:pPr>
      <w:r>
        <w:rPr>
          <w:rFonts w:hint="eastAsia" w:ascii="仿宋" w:eastAsia="仿宋"/>
          <w:bCs/>
          <w:color w:val="000000"/>
          <w:kern w:val="0"/>
          <w:sz w:val="32"/>
          <w:szCs w:val="32"/>
        </w:rPr>
        <w:t>2024年度本年支出合计1903.98万元，其中：基本支出1673.23万元，占87.88%；项目支出230.74万元，占12.11%；上缴上级支出0万元，占0%；经营支出0万元，占0%；对附属单位补助支出0万元，占0%。（注：仅罗列本部门涉及的支出）</w:t>
      </w:r>
    </w:p>
    <w:p>
      <w:pPr>
        <w:ind w:firstLine="800" w:firstLineChars="250"/>
        <w:rPr>
          <w:rFonts w:ascii="仿宋" w:eastAsia="仿宋"/>
          <w:bCs/>
          <w:color w:val="000000"/>
          <w:kern w:val="0"/>
          <w:sz w:val="32"/>
          <w:szCs w:val="32"/>
        </w:rPr>
      </w:pPr>
      <w:r>
        <w:rPr>
          <w:rFonts w:hint="eastAsia" w:ascii="仿宋" w:eastAsia="仿宋"/>
          <w:bCs/>
          <w:color w:val="000000"/>
          <w:kern w:val="0"/>
          <w:sz w:val="32"/>
          <w:szCs w:val="32"/>
        </w:rPr>
        <w:t>（图3：支出决算结构图）（饼状图）</w:t>
      </w:r>
    </w:p>
    <w:p>
      <w:pPr>
        <w:ind w:firstLine="800" w:firstLineChars="250"/>
        <w:rPr>
          <w:rFonts w:eastAsia="仿宋_GB2312" w:cs="仿宋_GB2312"/>
          <w:sz w:val="32"/>
          <w:szCs w:val="32"/>
        </w:rPr>
      </w:pPr>
      <w:r>
        <w:rPr>
          <w:rFonts w:eastAsia="仿宋_GB2312" w:cs="仿宋_GB2312"/>
          <w:sz w:val="32"/>
          <w:szCs w:val="32"/>
        </w:rPr>
        <w:drawing>
          <wp:inline distT="0" distB="0" distL="0" distR="0">
            <wp:extent cx="3663950" cy="2273300"/>
            <wp:effectExtent l="0" t="0" r="0" b="0"/>
            <wp:docPr id="41285104"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35"/>
          <w:rFonts w:ascii="Times New Roman" w:hAnsi="Times New Roman" w:eastAsia="黑体"/>
          <w:b w:val="0"/>
        </w:rPr>
      </w:pPr>
      <w:bookmarkStart w:id="46" w:name="_Toc15377208"/>
      <w:bookmarkStart w:id="47" w:name="_Toc15396606"/>
      <w:bookmarkStart w:id="48" w:name="_Toc208087286"/>
      <w:bookmarkStart w:id="49" w:name="_Toc208085677"/>
      <w:r>
        <w:rPr>
          <w:rFonts w:hint="eastAsia" w:eastAsia="黑体"/>
          <w:sz w:val="32"/>
          <w:szCs w:val="32"/>
        </w:rPr>
        <w:t>四、财</w:t>
      </w:r>
      <w:r>
        <w:rPr>
          <w:rStyle w:val="35"/>
          <w:rFonts w:hint="eastAsia" w:ascii="Times New Roman" w:hAnsi="Times New Roman" w:eastAsia="黑体"/>
          <w:b w:val="0"/>
        </w:rPr>
        <w:t>政拨款收入支出决算总体情况说明</w:t>
      </w:r>
      <w:bookmarkEnd w:id="46"/>
      <w:bookmarkEnd w:id="47"/>
      <w:bookmarkEnd w:id="48"/>
      <w:bookmarkEnd w:id="49"/>
    </w:p>
    <w:p>
      <w:pPr>
        <w:spacing w:line="600" w:lineRule="exact"/>
        <w:ind w:firstLine="640"/>
        <w:rPr>
          <w:rFonts w:ascii="仿宋" w:eastAsia="仿宋"/>
          <w:bCs/>
          <w:color w:val="000000"/>
          <w:kern w:val="0"/>
          <w:sz w:val="32"/>
          <w:szCs w:val="32"/>
        </w:rPr>
      </w:pPr>
      <w:r>
        <w:rPr>
          <w:rFonts w:hint="eastAsia" w:ascii="仿宋" w:eastAsia="仿宋"/>
          <w:bCs/>
          <w:color w:val="000000"/>
          <w:kern w:val="0"/>
          <w:sz w:val="32"/>
          <w:szCs w:val="32"/>
        </w:rPr>
        <w:t>2024年度财政拨款收入、支出总计均为1903.98万元。与2023年度相比，财政拨款收入总计、支出总计各减少98.9万元，下降4.94%。主要变动原因是学生减少,相关收支减少</w:t>
      </w:r>
    </w:p>
    <w:p>
      <w:pPr>
        <w:spacing w:line="600" w:lineRule="exact"/>
        <w:ind w:firstLine="640" w:firstLineChars="200"/>
        <w:rPr>
          <w:rFonts w:ascii="仿宋" w:eastAsia="仿宋"/>
          <w:bCs/>
          <w:color w:val="000000"/>
          <w:kern w:val="0"/>
          <w:sz w:val="32"/>
          <w:szCs w:val="32"/>
        </w:rPr>
      </w:pPr>
      <w:r>
        <w:rPr>
          <w:rFonts w:hint="eastAsia" w:ascii="仿宋" w:eastAsia="仿宋"/>
          <w:bCs/>
          <w:color w:val="000000"/>
          <w:kern w:val="0"/>
          <w:sz w:val="32"/>
          <w:szCs w:val="32"/>
        </w:rPr>
        <w:t>（图4：财政拨款收、支决算总计变动情况）（柱状图）</w:t>
      </w:r>
    </w:p>
    <w:p>
      <w:pPr>
        <w:pStyle w:val="2"/>
      </w:pPr>
      <w:r>
        <w:drawing>
          <wp:inline distT="0" distB="0" distL="0" distR="0">
            <wp:extent cx="3784600" cy="2400300"/>
            <wp:effectExtent l="0" t="0" r="0" b="0"/>
            <wp:docPr id="34401469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outlineLvl w:val="1"/>
        <w:rPr>
          <w:rStyle w:val="35"/>
          <w:rFonts w:ascii="Times New Roman" w:hAnsi="Times New Roman" w:eastAsia="黑体"/>
          <w:b w:val="0"/>
        </w:rPr>
      </w:pPr>
      <w:bookmarkStart w:id="50" w:name="_Toc15377209"/>
      <w:bookmarkStart w:id="51" w:name="_Toc208087287"/>
      <w:bookmarkStart w:id="52" w:name="_Toc15396607"/>
      <w:bookmarkStart w:id="53" w:name="_Toc208085678"/>
      <w:r>
        <w:rPr>
          <w:rFonts w:hint="eastAsia" w:eastAsia="黑体"/>
          <w:sz w:val="32"/>
          <w:szCs w:val="32"/>
        </w:rPr>
        <w:t>五、</w:t>
      </w:r>
      <w:r>
        <w:rPr>
          <w:rFonts w:hint="eastAsia" w:eastAsia="黑体"/>
          <w:b/>
          <w:sz w:val="32"/>
          <w:szCs w:val="32"/>
        </w:rPr>
        <w:t>一</w:t>
      </w:r>
      <w:r>
        <w:rPr>
          <w:rStyle w:val="35"/>
          <w:rFonts w:hint="eastAsia" w:ascii="Times New Roman" w:hAnsi="Times New Roman" w:eastAsia="黑体"/>
          <w:b w:val="0"/>
        </w:rPr>
        <w:t>般公共预算财政拨款支出决算情况说明</w:t>
      </w:r>
      <w:bookmarkEnd w:id="50"/>
      <w:bookmarkEnd w:id="51"/>
      <w:bookmarkEnd w:id="52"/>
      <w:bookmarkEnd w:id="53"/>
    </w:p>
    <w:p>
      <w:pPr>
        <w:spacing w:line="600" w:lineRule="exact"/>
        <w:ind w:firstLine="642" w:firstLineChars="200"/>
        <w:outlineLvl w:val="2"/>
        <w:rPr>
          <w:rFonts w:ascii="仿宋" w:eastAsia="仿宋"/>
          <w:b/>
          <w:bCs/>
          <w:color w:val="000000"/>
          <w:kern w:val="0"/>
          <w:sz w:val="32"/>
          <w:szCs w:val="32"/>
        </w:rPr>
      </w:pPr>
      <w:bookmarkStart w:id="54" w:name="_Toc15377210"/>
      <w:r>
        <w:rPr>
          <w:rFonts w:hint="eastAsia" w:ascii="仿宋" w:eastAsia="仿宋"/>
          <w:b/>
          <w:bCs/>
          <w:color w:val="000000"/>
          <w:kern w:val="0"/>
          <w:sz w:val="32"/>
          <w:szCs w:val="32"/>
        </w:rPr>
        <w:t>（一）一般公共预算财政拨款支出决算总体情况</w:t>
      </w:r>
      <w:bookmarkEnd w:id="54"/>
    </w:p>
    <w:p>
      <w:pPr>
        <w:spacing w:line="600" w:lineRule="exact"/>
        <w:ind w:firstLine="640"/>
        <w:rPr>
          <w:rFonts w:ascii="仿宋" w:eastAsia="仿宋"/>
          <w:bCs/>
          <w:color w:val="000000"/>
          <w:kern w:val="0"/>
          <w:sz w:val="32"/>
          <w:szCs w:val="32"/>
        </w:rPr>
      </w:pPr>
      <w:r>
        <w:rPr>
          <w:rFonts w:hint="eastAsia" w:ascii="仿宋" w:eastAsia="仿宋"/>
          <w:bCs/>
          <w:color w:val="000000"/>
          <w:kern w:val="0"/>
          <w:sz w:val="32"/>
          <w:szCs w:val="32"/>
        </w:rPr>
        <w:t>2024年度一般公共预算财政拨款支出1903.98万元，占本年支出合计的100%。与2023年度相比，一般公共预算财政拨款支出减少98.9万元，下降4.94%。主要变动原因是学生减少,相关收支减少</w:t>
      </w:r>
    </w:p>
    <w:p>
      <w:pPr>
        <w:spacing w:line="600" w:lineRule="exact"/>
        <w:ind w:firstLine="640"/>
        <w:rPr>
          <w:rFonts w:ascii="仿宋" w:eastAsia="仿宋"/>
          <w:bCs/>
          <w:color w:val="000000"/>
          <w:kern w:val="0"/>
          <w:sz w:val="32"/>
          <w:szCs w:val="32"/>
        </w:rPr>
      </w:pPr>
      <w:r>
        <w:rPr>
          <w:rFonts w:hint="eastAsia" w:ascii="仿宋" w:eastAsia="仿宋"/>
          <w:bCs/>
          <w:color w:val="000000"/>
          <w:kern w:val="0"/>
          <w:sz w:val="32"/>
          <w:szCs w:val="32"/>
        </w:rPr>
        <w:t>（图5：一般公共预算财政拨款支出决算变动情况）（柱状图）</w:t>
      </w:r>
    </w:p>
    <w:p>
      <w:pPr>
        <w:pStyle w:val="2"/>
      </w:pPr>
      <w:r>
        <w:drawing>
          <wp:inline distT="0" distB="0" distL="0" distR="0">
            <wp:extent cx="4165600" cy="2603500"/>
            <wp:effectExtent l="0" t="0" r="0" b="0"/>
            <wp:docPr id="577410631"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2" w:firstLineChars="200"/>
        <w:outlineLvl w:val="2"/>
        <w:rPr>
          <w:rFonts w:ascii="仿宋" w:eastAsia="仿宋"/>
          <w:b/>
          <w:bCs/>
          <w:color w:val="000000"/>
          <w:kern w:val="0"/>
          <w:sz w:val="32"/>
          <w:szCs w:val="32"/>
        </w:rPr>
      </w:pPr>
      <w:bookmarkStart w:id="55" w:name="_Toc15377211"/>
      <w:r>
        <w:rPr>
          <w:rFonts w:hint="eastAsia" w:ascii="仿宋" w:eastAsia="仿宋"/>
          <w:b/>
          <w:bCs/>
          <w:color w:val="000000"/>
          <w:kern w:val="0"/>
          <w:sz w:val="32"/>
          <w:szCs w:val="32"/>
        </w:rPr>
        <w:t>（二）一般公共预算财政拨款支出决算结构情况</w:t>
      </w:r>
      <w:bookmarkEnd w:id="55"/>
    </w:p>
    <w:p>
      <w:pPr>
        <w:spacing w:line="600" w:lineRule="exact"/>
        <w:ind w:firstLine="640"/>
        <w:rPr>
          <w:rFonts w:ascii="仿宋" w:eastAsia="仿宋"/>
          <w:bCs/>
          <w:color w:val="000000"/>
          <w:kern w:val="0"/>
          <w:sz w:val="32"/>
          <w:szCs w:val="32"/>
        </w:rPr>
      </w:pPr>
      <w:r>
        <w:rPr>
          <w:rFonts w:hint="eastAsia" w:ascii="仿宋" w:eastAsia="仿宋"/>
          <w:bCs/>
          <w:color w:val="000000"/>
          <w:kern w:val="0"/>
          <w:sz w:val="32"/>
          <w:szCs w:val="32"/>
        </w:rPr>
        <w:t>2024年度一般公共预算财政拨款支出1903.98万元，主要用于以下方面：教育支出1642.92万元，占86.29%；社会保障和就业支出148.26万元，占7.79%；住房保障支出112.80万元，占5.92%。</w:t>
      </w:r>
    </w:p>
    <w:p>
      <w:pPr>
        <w:spacing w:line="600" w:lineRule="exact"/>
        <w:ind w:firstLine="640"/>
        <w:rPr>
          <w:rFonts w:ascii="仿宋" w:eastAsia="仿宋"/>
          <w:bCs/>
          <w:color w:val="000000"/>
          <w:kern w:val="0"/>
          <w:sz w:val="32"/>
          <w:szCs w:val="32"/>
        </w:rPr>
      </w:pPr>
      <w:r>
        <w:rPr>
          <w:rFonts w:hint="eastAsia" w:ascii="仿宋" w:eastAsia="仿宋"/>
          <w:bCs/>
          <w:color w:val="000000"/>
          <w:kern w:val="0"/>
          <w:sz w:val="32"/>
          <w:szCs w:val="32"/>
        </w:rPr>
        <w:t>（注：仅罗列本部门涉及的全部功能分类科目，至类级）</w:t>
      </w:r>
    </w:p>
    <w:p>
      <w:pPr>
        <w:spacing w:line="600" w:lineRule="exact"/>
        <w:rPr>
          <w:rFonts w:ascii="仿宋" w:eastAsia="仿宋"/>
          <w:bCs/>
          <w:color w:val="000000"/>
          <w:kern w:val="0"/>
          <w:sz w:val="32"/>
          <w:szCs w:val="32"/>
        </w:rPr>
      </w:pPr>
      <w:r>
        <w:rPr>
          <w:rFonts w:hint="eastAsia" w:ascii="仿宋" w:eastAsia="仿宋"/>
          <w:bCs/>
          <w:color w:val="000000"/>
          <w:kern w:val="0"/>
          <w:sz w:val="32"/>
          <w:szCs w:val="32"/>
        </w:rPr>
        <w:t>（图6：一般公共预算财政拨款支出决算结构）（饼状图）</w:t>
      </w:r>
    </w:p>
    <w:p>
      <w:pPr>
        <w:pStyle w:val="2"/>
      </w:pPr>
    </w:p>
    <w:p>
      <w:pPr>
        <w:pStyle w:val="3"/>
        <w:ind w:left="420"/>
      </w:pPr>
      <w:r>
        <w:rPr>
          <w:rFonts w:hint="eastAsia"/>
        </w:rPr>
        <w:drawing>
          <wp:inline distT="0" distB="0" distL="0" distR="0">
            <wp:extent cx="4362450" cy="2343150"/>
            <wp:effectExtent l="19050" t="0" r="19050" b="0"/>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2" w:firstLineChars="200"/>
        <w:outlineLvl w:val="2"/>
        <w:rPr>
          <w:rFonts w:ascii="仿宋" w:eastAsia="仿宋"/>
          <w:b/>
          <w:bCs/>
          <w:color w:val="000000"/>
          <w:kern w:val="0"/>
          <w:sz w:val="32"/>
          <w:szCs w:val="32"/>
        </w:rPr>
      </w:pPr>
      <w:bookmarkStart w:id="56" w:name="_Toc15377212"/>
      <w:r>
        <w:rPr>
          <w:rFonts w:hint="eastAsia" w:ascii="仿宋" w:eastAsia="仿宋"/>
          <w:b/>
          <w:bCs/>
          <w:color w:val="000000"/>
          <w:kern w:val="0"/>
          <w:sz w:val="32"/>
          <w:szCs w:val="32"/>
        </w:rPr>
        <w:t>（三）一般公共预算财政拨款支出决算具体情况</w:t>
      </w:r>
      <w:bookmarkEnd w:id="56"/>
    </w:p>
    <w:p>
      <w:pPr>
        <w:spacing w:line="600" w:lineRule="exact"/>
        <w:ind w:firstLine="640"/>
        <w:rPr>
          <w:rFonts w:ascii="仿宋" w:eastAsia="仿宋"/>
          <w:bCs/>
          <w:color w:val="000000"/>
          <w:kern w:val="0"/>
          <w:sz w:val="32"/>
          <w:szCs w:val="32"/>
        </w:rPr>
      </w:pPr>
      <w:bookmarkStart w:id="57" w:name="_Toc15377213"/>
      <w:bookmarkStart w:id="58" w:name="_Toc15377444"/>
      <w:bookmarkStart w:id="59" w:name="_Toc15378460"/>
      <w:r>
        <w:rPr>
          <w:rFonts w:hint="eastAsia" w:ascii="仿宋" w:eastAsia="仿宋"/>
          <w:bCs/>
          <w:color w:val="000000"/>
          <w:kern w:val="0"/>
          <w:sz w:val="32"/>
          <w:szCs w:val="32"/>
        </w:rPr>
        <w:t>2024年度一般公共预算财政拨款支出决算数为1903.98，完成预算100%。其中：</w:t>
      </w:r>
      <w:bookmarkEnd w:id="57"/>
      <w:bookmarkEnd w:id="58"/>
      <w:bookmarkEnd w:id="59"/>
    </w:p>
    <w:p>
      <w:pPr>
        <w:spacing w:line="600" w:lineRule="exact"/>
        <w:ind w:firstLine="640"/>
        <w:rPr>
          <w:rFonts w:ascii="仿宋" w:eastAsia="仿宋"/>
          <w:bCs/>
          <w:color w:val="000000"/>
          <w:kern w:val="0"/>
          <w:sz w:val="32"/>
          <w:szCs w:val="32"/>
        </w:rPr>
      </w:pPr>
      <w:r>
        <w:rPr>
          <w:rFonts w:hint="eastAsia" w:ascii="仿宋" w:eastAsia="仿宋"/>
          <w:bCs/>
          <w:color w:val="000000"/>
          <w:kern w:val="0"/>
          <w:sz w:val="32"/>
          <w:szCs w:val="32"/>
        </w:rPr>
        <w:t>1. 教育支出（类）普通教育（款）小学教育（项）: 支出决算为1488.55万元，完成预算100%。</w:t>
      </w:r>
    </w:p>
    <w:p>
      <w:pPr>
        <w:spacing w:line="600" w:lineRule="exact"/>
        <w:ind w:firstLine="640"/>
        <w:rPr>
          <w:rFonts w:ascii="仿宋" w:eastAsia="仿宋"/>
          <w:bCs/>
          <w:color w:val="000000"/>
          <w:kern w:val="0"/>
          <w:sz w:val="32"/>
          <w:szCs w:val="32"/>
        </w:rPr>
      </w:pPr>
      <w:r>
        <w:rPr>
          <w:rFonts w:hint="eastAsia" w:ascii="仿宋" w:eastAsia="仿宋"/>
          <w:bCs/>
          <w:color w:val="000000"/>
          <w:kern w:val="0"/>
          <w:sz w:val="32"/>
          <w:szCs w:val="32"/>
        </w:rPr>
        <w:t>2. 教育支出（类）普通教育（款）初中教育（项）：支出决算为15.43万元，完成预算100%。</w:t>
      </w:r>
    </w:p>
    <w:p>
      <w:pPr>
        <w:spacing w:line="600" w:lineRule="exact"/>
        <w:ind w:firstLine="640"/>
        <w:rPr>
          <w:rFonts w:ascii="仿宋" w:eastAsia="仿宋"/>
          <w:bCs/>
          <w:color w:val="000000"/>
          <w:kern w:val="0"/>
          <w:sz w:val="32"/>
          <w:szCs w:val="32"/>
        </w:rPr>
      </w:pPr>
      <w:r>
        <w:rPr>
          <w:rFonts w:hint="eastAsia" w:ascii="仿宋" w:eastAsia="仿宋"/>
          <w:bCs/>
          <w:color w:val="000000"/>
          <w:kern w:val="0"/>
          <w:sz w:val="32"/>
          <w:szCs w:val="32"/>
        </w:rPr>
        <w:t>3. 教育支出（类）普通教育（款）其他普通教育支出（项）</w:t>
      </w:r>
      <w:r>
        <w:rPr>
          <w:rFonts w:ascii="仿宋" w:eastAsia="仿宋"/>
          <w:bCs/>
          <w:color w:val="000000"/>
          <w:kern w:val="0"/>
          <w:sz w:val="32"/>
          <w:szCs w:val="32"/>
        </w:rPr>
        <w:t>:</w:t>
      </w:r>
      <w:r>
        <w:rPr>
          <w:rFonts w:hint="eastAsia" w:ascii="仿宋" w:eastAsia="仿宋"/>
          <w:bCs/>
          <w:color w:val="000000"/>
          <w:kern w:val="0"/>
          <w:sz w:val="32"/>
          <w:szCs w:val="32"/>
        </w:rPr>
        <w:t xml:space="preserve"> 支出决算为6.5万元，完成调整预算100</w:t>
      </w:r>
      <w:r>
        <w:rPr>
          <w:rFonts w:ascii="仿宋" w:eastAsia="仿宋"/>
          <w:bCs/>
          <w:color w:val="000000"/>
          <w:kern w:val="0"/>
          <w:sz w:val="32"/>
          <w:szCs w:val="32"/>
        </w:rPr>
        <w:t>%</w:t>
      </w:r>
      <w:r>
        <w:rPr>
          <w:rFonts w:hint="eastAsia" w:ascii="仿宋" w:eastAsia="仿宋"/>
          <w:bCs/>
          <w:color w:val="000000"/>
          <w:kern w:val="0"/>
          <w:sz w:val="32"/>
          <w:szCs w:val="32"/>
        </w:rPr>
        <w:t>。</w:t>
      </w:r>
    </w:p>
    <w:p>
      <w:pPr>
        <w:spacing w:line="600" w:lineRule="exact"/>
        <w:ind w:firstLine="640" w:firstLineChars="200"/>
        <w:rPr>
          <w:rFonts w:ascii="仿宋" w:eastAsia="仿宋"/>
          <w:bCs/>
          <w:color w:val="000000"/>
          <w:kern w:val="0"/>
          <w:sz w:val="32"/>
          <w:szCs w:val="32"/>
        </w:rPr>
      </w:pPr>
      <w:r>
        <w:rPr>
          <w:rFonts w:hint="eastAsia" w:ascii="仿宋" w:eastAsia="仿宋"/>
          <w:bCs/>
          <w:color w:val="000000"/>
          <w:kern w:val="0"/>
          <w:sz w:val="32"/>
          <w:szCs w:val="32"/>
        </w:rPr>
        <w:t>4. 教育支出（类）教育费附加安排的支出（款）其他教育费附加安排的支出（项）</w:t>
      </w:r>
      <w:r>
        <w:rPr>
          <w:rFonts w:ascii="仿宋" w:eastAsia="仿宋"/>
          <w:bCs/>
          <w:color w:val="000000"/>
          <w:kern w:val="0"/>
          <w:sz w:val="32"/>
          <w:szCs w:val="32"/>
        </w:rPr>
        <w:t>:</w:t>
      </w:r>
      <w:r>
        <w:rPr>
          <w:rFonts w:hint="eastAsia" w:ascii="仿宋" w:eastAsia="仿宋"/>
          <w:bCs/>
          <w:color w:val="000000"/>
          <w:kern w:val="0"/>
          <w:sz w:val="32"/>
          <w:szCs w:val="32"/>
        </w:rPr>
        <w:t xml:space="preserve"> 支出决算为132.44万元，完成调整预算100</w:t>
      </w:r>
      <w:r>
        <w:rPr>
          <w:rFonts w:ascii="仿宋" w:eastAsia="仿宋"/>
          <w:bCs/>
          <w:color w:val="000000"/>
          <w:kern w:val="0"/>
          <w:sz w:val="32"/>
          <w:szCs w:val="32"/>
        </w:rPr>
        <w:t>%</w:t>
      </w:r>
      <w:r>
        <w:rPr>
          <w:rFonts w:hint="eastAsia" w:ascii="仿宋" w:eastAsia="仿宋"/>
          <w:bCs/>
          <w:color w:val="000000"/>
          <w:kern w:val="0"/>
          <w:sz w:val="32"/>
          <w:szCs w:val="32"/>
        </w:rPr>
        <w:t>.。</w:t>
      </w:r>
    </w:p>
    <w:p>
      <w:pPr>
        <w:spacing w:line="600" w:lineRule="exact"/>
        <w:ind w:firstLine="640"/>
        <w:rPr>
          <w:rFonts w:ascii="仿宋" w:eastAsia="仿宋"/>
          <w:bCs/>
          <w:color w:val="000000"/>
          <w:kern w:val="0"/>
          <w:sz w:val="32"/>
          <w:szCs w:val="32"/>
        </w:rPr>
      </w:pPr>
      <w:r>
        <w:rPr>
          <w:rFonts w:hint="eastAsia" w:ascii="仿宋" w:eastAsia="仿宋"/>
          <w:bCs/>
          <w:color w:val="000000"/>
          <w:kern w:val="0"/>
          <w:sz w:val="32"/>
          <w:szCs w:val="32"/>
        </w:rPr>
        <w:t>5. 社会保障和就业支出（类）行政事业部门养老支出（款）机关事业部门基本养老保险缴费支出（项）：支出决算为148.26万元，完成预算100%。</w:t>
      </w:r>
    </w:p>
    <w:p>
      <w:pPr>
        <w:pStyle w:val="2"/>
        <w:rPr>
          <w:rFonts w:ascii="仿宋" w:eastAsia="仿宋"/>
          <w:bCs/>
          <w:color w:val="000000"/>
          <w:kern w:val="0"/>
          <w:sz w:val="32"/>
          <w:szCs w:val="32"/>
        </w:rPr>
      </w:pPr>
      <w:r>
        <w:rPr>
          <w:rFonts w:hint="eastAsia" w:ascii="仿宋" w:eastAsia="仿宋"/>
          <w:bCs/>
          <w:color w:val="000000"/>
          <w:kern w:val="0"/>
          <w:sz w:val="32"/>
          <w:szCs w:val="32"/>
        </w:rPr>
        <w:t xml:space="preserve">      6. 住房保障支出（类）住房改革支出（款）住房公积金（项）：支出决算为112.80万元，完成调整预算100</w:t>
      </w:r>
      <w:r>
        <w:rPr>
          <w:rFonts w:ascii="仿宋" w:eastAsia="仿宋"/>
          <w:bCs/>
          <w:color w:val="000000"/>
          <w:kern w:val="0"/>
          <w:sz w:val="32"/>
          <w:szCs w:val="32"/>
        </w:rPr>
        <w:t>%</w:t>
      </w:r>
      <w:r>
        <w:rPr>
          <w:rFonts w:hint="eastAsia" w:ascii="仿宋" w:eastAsia="仿宋"/>
          <w:bCs/>
          <w:color w:val="000000"/>
          <w:kern w:val="0"/>
          <w:sz w:val="32"/>
          <w:szCs w:val="32"/>
        </w:rPr>
        <w:t>。</w:t>
      </w:r>
    </w:p>
    <w:p>
      <w:pPr>
        <w:spacing w:line="600" w:lineRule="exact"/>
        <w:ind w:firstLine="640"/>
        <w:rPr>
          <w:rFonts w:eastAsia="仿宋_GB2312" w:cs="仿宋_GB2312"/>
          <w:b/>
          <w:bCs/>
          <w:sz w:val="32"/>
          <w:szCs w:val="32"/>
        </w:rPr>
      </w:pPr>
      <w:r>
        <w:rPr>
          <w:rFonts w:hint="eastAsia" w:eastAsia="仿宋_GB2312" w:cs="仿宋_GB2312"/>
          <w:b/>
          <w:bCs/>
          <w:sz w:val="32"/>
          <w:szCs w:val="32"/>
        </w:rPr>
        <w:t>（注：仅罗列本部门涉及的全部功能分类科目，至项级。上述“预算”口径为全年预算数。增减变动原因为决算数&lt;项级&gt;和全年预算数&lt;项级&gt;比较，与预算数持平可以不写原因）</w:t>
      </w:r>
    </w:p>
    <w:p>
      <w:pPr>
        <w:tabs>
          <w:tab w:val="right" w:pos="8306"/>
        </w:tabs>
        <w:spacing w:line="600" w:lineRule="exact"/>
        <w:ind w:firstLine="642" w:firstLineChars="200"/>
        <w:outlineLvl w:val="1"/>
        <w:rPr>
          <w:rStyle w:val="35"/>
          <w:rFonts w:ascii="Times New Roman" w:hAnsi="Times New Roman" w:eastAsia="黑体"/>
          <w:b w:val="0"/>
        </w:rPr>
      </w:pPr>
      <w:bookmarkStart w:id="60" w:name="_Toc208085679"/>
      <w:bookmarkStart w:id="61" w:name="_Toc208087288"/>
      <w:bookmarkStart w:id="62" w:name="_Toc15396608"/>
      <w:bookmarkStart w:id="63" w:name="_Toc15377214"/>
      <w:r>
        <w:rPr>
          <w:rStyle w:val="35"/>
          <w:rFonts w:hint="eastAsia" w:ascii="Times New Roman" w:hAnsi="Times New Roman" w:eastAsia="黑体"/>
        </w:rPr>
        <w:t>六、一</w:t>
      </w:r>
      <w:r>
        <w:rPr>
          <w:rStyle w:val="35"/>
          <w:rFonts w:hint="eastAsia" w:ascii="Times New Roman" w:hAnsi="Times New Roman" w:eastAsia="黑体"/>
          <w:b w:val="0"/>
        </w:rPr>
        <w:t>般公共预算财政拨款基本支出决算情况说明</w:t>
      </w:r>
      <w:bookmarkEnd w:id="60"/>
      <w:bookmarkEnd w:id="61"/>
      <w:bookmarkEnd w:id="62"/>
      <w:bookmarkEnd w:id="63"/>
      <w:r>
        <w:rPr>
          <w:rStyle w:val="35"/>
          <w:rFonts w:ascii="Times New Roman" w:hAnsi="Times New Roman" w:eastAsia="黑体"/>
          <w:b w:val="0"/>
        </w:rPr>
        <w:tab/>
      </w:r>
    </w:p>
    <w:p>
      <w:pPr>
        <w:spacing w:line="600" w:lineRule="exact"/>
        <w:ind w:firstLine="640"/>
        <w:rPr>
          <w:rFonts w:ascii="仿宋" w:eastAsia="仿宋"/>
          <w:bCs/>
          <w:color w:val="000000"/>
          <w:kern w:val="0"/>
          <w:sz w:val="32"/>
          <w:szCs w:val="32"/>
        </w:rPr>
      </w:pPr>
      <w:r>
        <w:rPr>
          <w:rFonts w:hint="eastAsia" w:ascii="仿宋" w:eastAsia="仿宋"/>
          <w:bCs/>
          <w:color w:val="000000"/>
          <w:kern w:val="0"/>
          <w:sz w:val="32"/>
          <w:szCs w:val="32"/>
        </w:rPr>
        <w:t>2024年度一般公共预算财政拨款基本支出1673.23万元，其中：</w:t>
      </w:r>
    </w:p>
    <w:p>
      <w:pPr>
        <w:spacing w:line="600" w:lineRule="exact"/>
        <w:ind w:firstLine="640"/>
        <w:rPr>
          <w:rFonts w:ascii="仿宋" w:eastAsia="仿宋"/>
          <w:bCs/>
          <w:color w:val="000000"/>
          <w:kern w:val="0"/>
          <w:sz w:val="32"/>
          <w:szCs w:val="32"/>
        </w:rPr>
      </w:pPr>
      <w:r>
        <w:rPr>
          <w:rFonts w:hint="eastAsia" w:ascii="仿宋" w:eastAsia="仿宋"/>
          <w:bCs/>
          <w:color w:val="000000"/>
          <w:kern w:val="0"/>
          <w:sz w:val="32"/>
          <w:szCs w:val="32"/>
        </w:rPr>
        <w:t>人员经费1629.04万元，主要包括：基本工资、津贴补贴、绩效工资、机关事业部门基本养老保险缴费、职工基本医疗保险缴费、公务员医疗补助缴费、其他社会保障缴费、住房公积金、抚恤金、生活补助、医疗费补助。</w:t>
      </w:r>
      <w:r>
        <w:rPr>
          <w:rFonts w:hint="eastAsia" w:ascii="仿宋" w:eastAsia="仿宋"/>
          <w:bCs/>
          <w:color w:val="000000"/>
          <w:kern w:val="0"/>
          <w:sz w:val="32"/>
          <w:szCs w:val="32"/>
        </w:rPr>
        <w:br w:type="textWrapping"/>
      </w:r>
      <w:r>
        <w:rPr>
          <w:rFonts w:hint="eastAsia" w:eastAsia="仿宋_GB2312" w:cs="仿宋_GB2312"/>
          <w:sz w:val="32"/>
          <w:szCs w:val="32"/>
        </w:rPr>
        <w:t>　　</w:t>
      </w:r>
      <w:r>
        <w:rPr>
          <w:rFonts w:hint="eastAsia" w:ascii="仿宋" w:eastAsia="仿宋"/>
          <w:bCs/>
          <w:color w:val="000000"/>
          <w:kern w:val="0"/>
          <w:sz w:val="32"/>
          <w:szCs w:val="32"/>
        </w:rPr>
        <w:t>公用经费44.2万元，主要包括：办公费、咨询费、水费、电费、邮电费、差旅费、维修（护）费、工会经费、福利费、其他商品和服务支出。</w:t>
      </w:r>
    </w:p>
    <w:p>
      <w:pPr>
        <w:spacing w:line="600" w:lineRule="exact"/>
        <w:ind w:firstLine="640"/>
        <w:rPr>
          <w:rFonts w:eastAsia="仿宋_GB2312" w:cs="仿宋_GB2312"/>
          <w:b/>
          <w:bCs/>
          <w:sz w:val="32"/>
          <w:szCs w:val="32"/>
        </w:rPr>
      </w:pPr>
      <w:r>
        <w:rPr>
          <w:rFonts w:hint="eastAsia" w:eastAsia="仿宋_GB2312" w:cs="仿宋_GB2312"/>
          <w:b/>
          <w:bCs/>
          <w:sz w:val="32"/>
          <w:szCs w:val="32"/>
        </w:rPr>
        <w:t>（注：仅罗列本部门实际支出涉及的经济分类科目）</w:t>
      </w:r>
    </w:p>
    <w:p>
      <w:pPr>
        <w:spacing w:line="600" w:lineRule="exact"/>
        <w:ind w:firstLine="640"/>
        <w:outlineLvl w:val="1"/>
        <w:rPr>
          <w:rStyle w:val="35"/>
          <w:rFonts w:ascii="Times New Roman" w:hAnsi="Times New Roman" w:eastAsia="黑体"/>
          <w:b w:val="0"/>
        </w:rPr>
      </w:pPr>
      <w:bookmarkStart w:id="64" w:name="_Toc15396609"/>
      <w:bookmarkStart w:id="65" w:name="_Toc208087289"/>
      <w:bookmarkStart w:id="66" w:name="_Toc208085680"/>
      <w:bookmarkStart w:id="67" w:name="_Toc15377215"/>
      <w:r>
        <w:rPr>
          <w:rFonts w:hint="eastAsia" w:eastAsia="黑体"/>
          <w:sz w:val="32"/>
          <w:szCs w:val="32"/>
        </w:rPr>
        <w:t>七、</w:t>
      </w:r>
      <w:r>
        <w:rPr>
          <w:rStyle w:val="35"/>
          <w:rFonts w:hint="eastAsia" w:ascii="Times New Roman" w:hAnsi="Times New Roman" w:eastAsia="黑体"/>
          <w:b w:val="0"/>
        </w:rPr>
        <w:t>财政拨款</w:t>
      </w:r>
      <w:r>
        <w:rPr>
          <w:rStyle w:val="35"/>
          <w:rFonts w:hint="eastAsia" w:ascii="Times New Roman" w:hAnsi="Times New Roman" w:eastAsia="黑体"/>
        </w:rPr>
        <w:t>“</w:t>
      </w:r>
      <w:r>
        <w:rPr>
          <w:rStyle w:val="35"/>
          <w:rFonts w:hint="eastAsia" w:ascii="Times New Roman" w:hAnsi="Times New Roman" w:eastAsia="黑体"/>
          <w:b w:val="0"/>
        </w:rPr>
        <w:t>三公”经费支出决算情况说明</w:t>
      </w:r>
      <w:bookmarkEnd w:id="64"/>
      <w:bookmarkEnd w:id="65"/>
      <w:bookmarkEnd w:id="66"/>
      <w:bookmarkEnd w:id="67"/>
    </w:p>
    <w:p>
      <w:pPr>
        <w:spacing w:line="600" w:lineRule="exact"/>
        <w:ind w:firstLine="642" w:firstLineChars="200"/>
        <w:outlineLvl w:val="2"/>
        <w:rPr>
          <w:rFonts w:ascii="仿宋" w:eastAsia="仿宋"/>
          <w:b/>
          <w:bCs/>
          <w:color w:val="000000"/>
          <w:kern w:val="0"/>
          <w:sz w:val="32"/>
          <w:szCs w:val="32"/>
        </w:rPr>
      </w:pPr>
      <w:bookmarkStart w:id="68" w:name="_Toc15377216"/>
      <w:r>
        <w:rPr>
          <w:rFonts w:hint="eastAsia" w:ascii="仿宋" w:eastAsia="仿宋"/>
          <w:b/>
          <w:bCs/>
          <w:color w:val="000000"/>
          <w:kern w:val="0"/>
          <w:sz w:val="32"/>
          <w:szCs w:val="32"/>
        </w:rPr>
        <w:t>（一）“三公”经费财政拨款支出决算总体情况说明</w:t>
      </w:r>
      <w:bookmarkEnd w:id="68"/>
    </w:p>
    <w:p>
      <w:pPr>
        <w:spacing w:line="600" w:lineRule="exact"/>
        <w:ind w:firstLine="640"/>
        <w:rPr>
          <w:rFonts w:ascii="仿宋" w:eastAsia="仿宋"/>
          <w:bCs/>
          <w:color w:val="000000"/>
          <w:kern w:val="0"/>
          <w:sz w:val="32"/>
          <w:szCs w:val="32"/>
        </w:rPr>
      </w:pPr>
      <w:r>
        <w:rPr>
          <w:rFonts w:hint="eastAsia" w:ascii="仿宋" w:eastAsia="仿宋"/>
          <w:bCs/>
          <w:color w:val="000000"/>
          <w:kern w:val="0"/>
          <w:sz w:val="32"/>
          <w:szCs w:val="32"/>
        </w:rPr>
        <w:t>2024年度“三公”经费财政拨款支出决算为0万元，完成预算0%，与上年一致。决算数与预算数持平。</w:t>
      </w:r>
    </w:p>
    <w:p>
      <w:pPr>
        <w:spacing w:line="600" w:lineRule="exact"/>
        <w:ind w:firstLine="640"/>
        <w:rPr>
          <w:rFonts w:eastAsia="仿宋_GB2312" w:cs="仿宋_GB2312"/>
          <w:b/>
          <w:bCs/>
          <w:sz w:val="32"/>
          <w:szCs w:val="32"/>
        </w:rPr>
      </w:pPr>
      <w:r>
        <w:rPr>
          <w:rFonts w:hint="eastAsia" w:eastAsia="仿宋_GB2312" w:cs="仿宋_GB2312"/>
          <w:b/>
          <w:bCs/>
          <w:sz w:val="32"/>
          <w:szCs w:val="32"/>
        </w:rPr>
        <w:t>（注：上述“预算”口径为全年预算数，包括一般公共预算和政府性基金预算财政拨款支出决算情况）</w:t>
      </w:r>
    </w:p>
    <w:p>
      <w:pPr>
        <w:spacing w:line="600" w:lineRule="exact"/>
        <w:ind w:firstLine="642" w:firstLineChars="200"/>
        <w:outlineLvl w:val="2"/>
        <w:rPr>
          <w:rFonts w:ascii="仿宋" w:eastAsia="仿宋"/>
          <w:b/>
          <w:bCs/>
          <w:color w:val="000000"/>
          <w:kern w:val="0"/>
          <w:sz w:val="32"/>
          <w:szCs w:val="32"/>
        </w:rPr>
      </w:pPr>
      <w:bookmarkStart w:id="69" w:name="_Toc15377217"/>
      <w:r>
        <w:rPr>
          <w:rFonts w:hint="eastAsia" w:ascii="仿宋" w:eastAsia="仿宋"/>
          <w:b/>
          <w:bCs/>
          <w:color w:val="000000"/>
          <w:kern w:val="0"/>
          <w:sz w:val="32"/>
          <w:szCs w:val="32"/>
        </w:rPr>
        <w:t>（二）“三公”经费财政拨款支出决算具体情况说明</w:t>
      </w:r>
      <w:bookmarkEnd w:id="69"/>
    </w:p>
    <w:p>
      <w:pPr>
        <w:spacing w:line="600" w:lineRule="exact"/>
        <w:ind w:firstLine="640"/>
        <w:rPr>
          <w:rFonts w:ascii="仿宋" w:eastAsia="仿宋"/>
          <w:bCs/>
          <w:color w:val="000000"/>
          <w:kern w:val="0"/>
          <w:sz w:val="32"/>
          <w:szCs w:val="32"/>
        </w:rPr>
      </w:pPr>
      <w:r>
        <w:rPr>
          <w:rFonts w:hint="eastAsia" w:ascii="仿宋" w:eastAsia="仿宋"/>
          <w:bCs/>
          <w:color w:val="000000"/>
          <w:kern w:val="0"/>
          <w:sz w:val="32"/>
          <w:szCs w:val="32"/>
        </w:rPr>
        <w:t>2024年度“三公”经费财政拨款支出决算中，因公出国（境）费支出决算0万元，占0%；公务用车购置及运行维护费支出决算0万元，占0%；公务接待费支出决算0万元，占0%。</w:t>
      </w:r>
    </w:p>
    <w:p>
      <w:pPr>
        <w:spacing w:line="600" w:lineRule="exact"/>
        <w:ind w:firstLine="640"/>
        <w:rPr>
          <w:rFonts w:ascii="仿宋" w:eastAsia="仿宋"/>
          <w:bCs/>
          <w:color w:val="000000"/>
          <w:kern w:val="0"/>
          <w:sz w:val="32"/>
          <w:szCs w:val="32"/>
        </w:rPr>
      </w:pPr>
      <w:r>
        <w:rPr>
          <w:rFonts w:hint="eastAsia" w:eastAsia="仿宋_GB2312" w:cs="仿宋_GB2312"/>
          <w:b/>
          <w:bCs/>
          <w:sz w:val="32"/>
          <w:szCs w:val="32"/>
        </w:rPr>
        <w:t>1.</w:t>
      </w:r>
      <w:r>
        <w:rPr>
          <w:rFonts w:hint="eastAsia" w:ascii="仿宋" w:eastAsia="仿宋"/>
          <w:bCs/>
          <w:color w:val="000000"/>
          <w:kern w:val="0"/>
          <w:sz w:val="32"/>
          <w:szCs w:val="32"/>
        </w:rPr>
        <w:t>因公出国（境）经费支出0万元，完成预算0%</w:t>
      </w:r>
      <w:r>
        <w:rPr>
          <w:rFonts w:hint="eastAsia" w:eastAsia="仿宋_GB2312" w:cs="仿宋_GB2312"/>
          <w:b/>
          <w:bCs/>
          <w:sz w:val="32"/>
          <w:szCs w:val="32"/>
        </w:rPr>
        <w:t>。</w:t>
      </w:r>
      <w:r>
        <w:rPr>
          <w:rFonts w:hint="eastAsia" w:ascii="仿宋" w:eastAsia="仿宋"/>
          <w:bCs/>
          <w:color w:val="000000"/>
          <w:kern w:val="0"/>
          <w:sz w:val="32"/>
          <w:szCs w:val="32"/>
        </w:rPr>
        <w:t>全年安排因公出国（境）团组0次，出国（境）0人。因公出国（境）支出决算比2023年增加/减少0万元。</w:t>
      </w:r>
    </w:p>
    <w:p>
      <w:pPr>
        <w:spacing w:line="600" w:lineRule="exact"/>
        <w:ind w:firstLine="640"/>
        <w:rPr>
          <w:rFonts w:ascii="仿宋" w:eastAsia="仿宋"/>
          <w:bCs/>
          <w:color w:val="000000"/>
          <w:kern w:val="0"/>
          <w:sz w:val="32"/>
          <w:szCs w:val="32"/>
        </w:rPr>
      </w:pPr>
      <w:r>
        <w:rPr>
          <w:rFonts w:hint="eastAsia" w:eastAsia="仿宋_GB2312" w:cs="仿宋_GB2312"/>
          <w:b/>
          <w:bCs/>
          <w:sz w:val="32"/>
          <w:szCs w:val="32"/>
        </w:rPr>
        <w:t>2.</w:t>
      </w:r>
      <w:r>
        <w:rPr>
          <w:rFonts w:hint="eastAsia" w:ascii="仿宋" w:hAnsi="仿宋" w:eastAsia="仿宋"/>
          <w:sz w:val="32"/>
          <w:szCs w:val="32"/>
          <w:lang w:val="zh-CN"/>
        </w:rPr>
        <w:t>公务用车购置及运行维护费支出0万元，完成预算0%。</w:t>
      </w:r>
      <w:r>
        <w:rPr>
          <w:rFonts w:hint="eastAsia" w:ascii="仿宋" w:eastAsia="仿宋"/>
          <w:bCs/>
          <w:color w:val="000000"/>
          <w:kern w:val="0"/>
          <w:sz w:val="32"/>
          <w:szCs w:val="32"/>
        </w:rPr>
        <w:t>公务用车购置及运行维护费支出决算与2023年一致。</w:t>
      </w:r>
    </w:p>
    <w:p>
      <w:pPr>
        <w:autoSpaceDE w:val="0"/>
        <w:autoSpaceDN w:val="0"/>
        <w:ind w:firstLine="640" w:firstLineChars="200"/>
        <w:rPr>
          <w:rFonts w:eastAsia="仿宋"/>
          <w:color w:val="000000"/>
          <w:sz w:val="32"/>
          <w:szCs w:val="32"/>
        </w:rPr>
      </w:pPr>
      <w:r>
        <w:rPr>
          <w:rFonts w:hint="eastAsia" w:ascii="仿宋" w:hAnsi="仿宋" w:eastAsia="仿宋"/>
          <w:sz w:val="32"/>
          <w:szCs w:val="32"/>
          <w:lang w:val="zh-CN"/>
        </w:rPr>
        <w:t>其中：公务用车购置支出0万元。全年按规定更新购置</w:t>
      </w:r>
      <w:r>
        <w:rPr>
          <w:rFonts w:hint="eastAsia" w:eastAsia="仿宋"/>
          <w:color w:val="000000"/>
          <w:sz w:val="32"/>
          <w:szCs w:val="32"/>
        </w:rPr>
        <w:t>公务用车0辆，其中：轿车0辆、金额0万元，越野车0辆、金额0万元，小型载客汽车0辆、金额0万元，大中型载客汽车0辆、金额0万元，其他车型0辆、金额0万元。截至</w:t>
      </w:r>
      <w:r>
        <w:rPr>
          <w:rFonts w:eastAsia="仿宋"/>
          <w:color w:val="000000"/>
          <w:sz w:val="32"/>
          <w:szCs w:val="32"/>
        </w:rPr>
        <w:t>202</w:t>
      </w:r>
      <w:r>
        <w:rPr>
          <w:rFonts w:hint="eastAsia" w:eastAsia="仿宋"/>
          <w:color w:val="000000"/>
          <w:sz w:val="32"/>
          <w:szCs w:val="32"/>
        </w:rPr>
        <w:t>3年</w:t>
      </w:r>
      <w:r>
        <w:rPr>
          <w:rFonts w:eastAsia="仿宋"/>
          <w:color w:val="000000"/>
          <w:sz w:val="32"/>
          <w:szCs w:val="32"/>
        </w:rPr>
        <w:t>12</w:t>
      </w:r>
      <w:r>
        <w:rPr>
          <w:rFonts w:hint="eastAsia" w:eastAsia="仿宋"/>
          <w:color w:val="000000"/>
          <w:sz w:val="32"/>
          <w:szCs w:val="32"/>
        </w:rPr>
        <w:t>月底，本部门共有公务用车0辆，其中：轿车0辆、越野车0辆、小型载客汽车0辆、大中型载客汽车0辆、其他车型0辆。</w:t>
      </w:r>
    </w:p>
    <w:p>
      <w:pPr>
        <w:spacing w:line="600" w:lineRule="exact"/>
        <w:rPr>
          <w:rFonts w:eastAsia="仿宋"/>
          <w:color w:val="000000"/>
          <w:sz w:val="32"/>
          <w:szCs w:val="32"/>
        </w:rPr>
      </w:pPr>
      <w:r>
        <w:rPr>
          <w:rFonts w:hint="eastAsia" w:eastAsia="仿宋"/>
          <w:color w:val="000000"/>
          <w:sz w:val="32"/>
          <w:szCs w:val="32"/>
        </w:rPr>
        <w:t>公务用车运行维护费支出0万元。</w:t>
      </w:r>
    </w:p>
    <w:p>
      <w:pPr>
        <w:keepNext/>
        <w:keepLines/>
        <w:spacing w:line="576" w:lineRule="exact"/>
        <w:ind w:firstLine="643"/>
        <w:rPr>
          <w:rFonts w:eastAsia="仿宋"/>
          <w:color w:val="000000"/>
          <w:sz w:val="32"/>
          <w:szCs w:val="32"/>
        </w:rPr>
      </w:pPr>
      <w:r>
        <w:rPr>
          <w:rFonts w:hint="eastAsia" w:eastAsia="仿宋_GB2312" w:cs="仿宋_GB2312"/>
          <w:b/>
          <w:bCs/>
          <w:sz w:val="32"/>
          <w:szCs w:val="32"/>
        </w:rPr>
        <w:t>3.</w:t>
      </w:r>
      <w:bookmarkStart w:id="70" w:name="_Toc15396610"/>
      <w:bookmarkStart w:id="71" w:name="_Toc15377218"/>
      <w:r>
        <w:rPr>
          <w:rFonts w:hint="eastAsia" w:eastAsia="仿宋"/>
          <w:color w:val="000000"/>
          <w:sz w:val="32"/>
          <w:szCs w:val="32"/>
        </w:rPr>
        <w:t>公务接待费支出0万元，完成预算0</w:t>
      </w:r>
      <w:r>
        <w:rPr>
          <w:rFonts w:eastAsia="仿宋"/>
          <w:color w:val="000000"/>
          <w:sz w:val="32"/>
          <w:szCs w:val="32"/>
        </w:rPr>
        <w:t>%</w:t>
      </w:r>
      <w:r>
        <w:rPr>
          <w:rFonts w:hint="eastAsia" w:eastAsia="仿宋"/>
          <w:color w:val="000000"/>
          <w:sz w:val="32"/>
          <w:szCs w:val="32"/>
        </w:rPr>
        <w:t>。公务接待费支出决算与</w:t>
      </w:r>
      <w:r>
        <w:rPr>
          <w:rFonts w:eastAsia="仿宋"/>
          <w:color w:val="000000"/>
          <w:sz w:val="32"/>
          <w:szCs w:val="32"/>
        </w:rPr>
        <w:t>202</w:t>
      </w:r>
      <w:r>
        <w:rPr>
          <w:rFonts w:hint="eastAsia" w:eastAsia="仿宋"/>
          <w:color w:val="000000"/>
          <w:sz w:val="32"/>
          <w:szCs w:val="32"/>
        </w:rPr>
        <w:t>3年一致。其中：</w:t>
      </w:r>
    </w:p>
    <w:p>
      <w:pPr>
        <w:keepNext/>
        <w:keepLines/>
        <w:spacing w:line="576" w:lineRule="exact"/>
        <w:ind w:firstLine="643"/>
        <w:rPr>
          <w:rFonts w:eastAsia="仿宋"/>
          <w:color w:val="000000"/>
          <w:sz w:val="32"/>
          <w:szCs w:val="32"/>
        </w:rPr>
      </w:pPr>
      <w:r>
        <w:rPr>
          <w:rFonts w:hint="eastAsia" w:eastAsia="仿宋"/>
          <w:color w:val="000000"/>
          <w:sz w:val="32"/>
          <w:szCs w:val="32"/>
        </w:rPr>
        <w:t>国内公务接待支出0万元。国内公务接待0批次，0人次，共计支出0万元</w:t>
      </w:r>
    </w:p>
    <w:p>
      <w:pPr>
        <w:autoSpaceDE w:val="0"/>
        <w:autoSpaceDN w:val="0"/>
        <w:ind w:firstLine="640" w:firstLineChars="200"/>
        <w:rPr>
          <w:rFonts w:eastAsia="仿宋"/>
          <w:color w:val="000000"/>
          <w:sz w:val="32"/>
          <w:szCs w:val="32"/>
        </w:rPr>
      </w:pPr>
      <w:r>
        <w:rPr>
          <w:rFonts w:hint="eastAsia" w:eastAsia="仿宋"/>
          <w:color w:val="000000"/>
          <w:sz w:val="32"/>
          <w:szCs w:val="32"/>
        </w:rPr>
        <w:t>外事接待支出</w:t>
      </w:r>
      <w:r>
        <w:rPr>
          <w:rFonts w:eastAsia="仿宋"/>
          <w:color w:val="000000"/>
          <w:sz w:val="32"/>
          <w:szCs w:val="32"/>
        </w:rPr>
        <w:t>0</w:t>
      </w:r>
      <w:r>
        <w:rPr>
          <w:rFonts w:hint="eastAsia" w:eastAsia="仿宋"/>
          <w:color w:val="000000"/>
          <w:sz w:val="32"/>
          <w:szCs w:val="32"/>
        </w:rPr>
        <w:t>万元。外事接待</w:t>
      </w:r>
      <w:r>
        <w:rPr>
          <w:rFonts w:eastAsia="仿宋"/>
          <w:color w:val="000000"/>
          <w:sz w:val="32"/>
          <w:szCs w:val="32"/>
        </w:rPr>
        <w:t>0</w:t>
      </w:r>
      <w:r>
        <w:rPr>
          <w:rFonts w:hint="eastAsia" w:eastAsia="仿宋"/>
          <w:color w:val="000000"/>
          <w:sz w:val="32"/>
          <w:szCs w:val="32"/>
        </w:rPr>
        <w:t>批次，</w:t>
      </w:r>
      <w:r>
        <w:rPr>
          <w:rFonts w:eastAsia="仿宋"/>
          <w:color w:val="000000"/>
          <w:sz w:val="32"/>
          <w:szCs w:val="32"/>
        </w:rPr>
        <w:t>0</w:t>
      </w:r>
      <w:r>
        <w:rPr>
          <w:rFonts w:hint="eastAsia" w:eastAsia="仿宋"/>
          <w:color w:val="000000"/>
          <w:sz w:val="32"/>
          <w:szCs w:val="32"/>
        </w:rPr>
        <w:t>人，共计支出</w:t>
      </w:r>
      <w:r>
        <w:rPr>
          <w:rFonts w:eastAsia="仿宋"/>
          <w:color w:val="000000"/>
          <w:sz w:val="32"/>
          <w:szCs w:val="32"/>
        </w:rPr>
        <w:t>0</w:t>
      </w:r>
      <w:r>
        <w:rPr>
          <w:rFonts w:hint="eastAsia" w:eastAsia="仿宋"/>
          <w:color w:val="000000"/>
          <w:sz w:val="32"/>
          <w:szCs w:val="32"/>
        </w:rPr>
        <w:t>万元。</w:t>
      </w:r>
    </w:p>
    <w:p>
      <w:pPr>
        <w:spacing w:line="600" w:lineRule="exact"/>
        <w:ind w:firstLine="640"/>
        <w:rPr>
          <w:rStyle w:val="35"/>
          <w:rFonts w:ascii="Times New Roman" w:hAnsi="Times New Roman" w:eastAsia="黑体"/>
        </w:rPr>
      </w:pPr>
      <w:r>
        <w:rPr>
          <w:rFonts w:hint="eastAsia" w:eastAsia="黑体"/>
          <w:sz w:val="32"/>
          <w:szCs w:val="32"/>
        </w:rPr>
        <w:t>八、</w:t>
      </w:r>
      <w:r>
        <w:rPr>
          <w:rStyle w:val="35"/>
          <w:rFonts w:hint="eastAsia" w:ascii="Times New Roman" w:hAnsi="Times New Roman" w:eastAsia="黑体"/>
          <w:b w:val="0"/>
        </w:rPr>
        <w:t>政府性基金预算支出决算情况说明</w:t>
      </w:r>
      <w:bookmarkEnd w:id="70"/>
      <w:bookmarkEnd w:id="71"/>
    </w:p>
    <w:p>
      <w:pPr>
        <w:spacing w:line="600" w:lineRule="exact"/>
        <w:ind w:firstLine="640" w:firstLineChars="200"/>
        <w:rPr>
          <w:rFonts w:eastAsia="仿宋"/>
          <w:color w:val="000000"/>
          <w:sz w:val="32"/>
          <w:szCs w:val="32"/>
        </w:rPr>
      </w:pPr>
      <w:r>
        <w:rPr>
          <w:rFonts w:hint="eastAsia" w:eastAsia="仿宋"/>
          <w:color w:val="000000"/>
          <w:sz w:val="32"/>
          <w:szCs w:val="32"/>
        </w:rPr>
        <w:t>2024年度政府性基金预算财政拨款支出0万元。</w:t>
      </w:r>
    </w:p>
    <w:p>
      <w:pPr>
        <w:spacing w:line="600" w:lineRule="exact"/>
        <w:ind w:left="630"/>
        <w:outlineLvl w:val="1"/>
        <w:rPr>
          <w:rStyle w:val="35"/>
          <w:rFonts w:ascii="Times New Roman" w:hAnsi="Times New Roman" w:eastAsia="黑体"/>
          <w:b w:val="0"/>
        </w:rPr>
      </w:pPr>
      <w:bookmarkStart w:id="72" w:name="_Toc208087290"/>
      <w:bookmarkStart w:id="73" w:name="_Toc15396611"/>
      <w:bookmarkStart w:id="74" w:name="_Toc208085681"/>
      <w:bookmarkStart w:id="75" w:name="_Toc15377219"/>
      <w:r>
        <w:rPr>
          <w:rStyle w:val="35"/>
          <w:rFonts w:hint="eastAsia" w:ascii="Times New Roman" w:hAnsi="Times New Roman" w:eastAsia="黑体"/>
          <w:b w:val="0"/>
        </w:rPr>
        <w:t>九、国有资本经营预算支出决算情况说明</w:t>
      </w:r>
      <w:bookmarkEnd w:id="72"/>
      <w:bookmarkEnd w:id="73"/>
      <w:bookmarkEnd w:id="74"/>
      <w:bookmarkEnd w:id="75"/>
    </w:p>
    <w:p>
      <w:pPr>
        <w:spacing w:line="600" w:lineRule="exact"/>
        <w:ind w:firstLine="640" w:firstLineChars="200"/>
        <w:rPr>
          <w:rFonts w:eastAsia="仿宋"/>
          <w:color w:val="000000"/>
          <w:sz w:val="32"/>
          <w:szCs w:val="32"/>
        </w:rPr>
      </w:pPr>
      <w:r>
        <w:rPr>
          <w:rFonts w:hint="eastAsia" w:eastAsia="仿宋"/>
          <w:color w:val="000000"/>
          <w:sz w:val="32"/>
          <w:szCs w:val="32"/>
        </w:rPr>
        <w:t>2024年度国有资本经营预算财政拨款支出0万元。</w:t>
      </w:r>
    </w:p>
    <w:p>
      <w:pPr>
        <w:spacing w:line="600" w:lineRule="exact"/>
        <w:ind w:left="630"/>
        <w:outlineLvl w:val="1"/>
        <w:rPr>
          <w:rStyle w:val="35"/>
          <w:rFonts w:ascii="Times New Roman" w:hAnsi="Times New Roman" w:eastAsia="黑体"/>
          <w:b w:val="0"/>
        </w:rPr>
      </w:pPr>
      <w:bookmarkStart w:id="76" w:name="_Toc15396612"/>
      <w:bookmarkStart w:id="77" w:name="_Toc208085682"/>
      <w:bookmarkStart w:id="78" w:name="_Toc208087291"/>
      <w:bookmarkStart w:id="79" w:name="_Toc15377221"/>
      <w:r>
        <w:rPr>
          <w:rStyle w:val="35"/>
          <w:rFonts w:hint="eastAsia" w:ascii="Times New Roman" w:hAnsi="Times New Roman" w:eastAsia="黑体"/>
          <w:b w:val="0"/>
        </w:rPr>
        <w:t>十、其他重要事项的情况说明</w:t>
      </w:r>
      <w:bookmarkEnd w:id="76"/>
      <w:bookmarkEnd w:id="77"/>
      <w:bookmarkEnd w:id="78"/>
      <w:bookmarkEnd w:id="79"/>
    </w:p>
    <w:p>
      <w:pPr>
        <w:spacing w:line="600" w:lineRule="exact"/>
        <w:ind w:firstLine="642" w:firstLineChars="200"/>
        <w:outlineLvl w:val="2"/>
        <w:rPr>
          <w:rFonts w:ascii="仿宋" w:eastAsia="仿宋"/>
          <w:b/>
          <w:bCs/>
          <w:color w:val="000000"/>
          <w:kern w:val="0"/>
          <w:sz w:val="32"/>
          <w:szCs w:val="32"/>
        </w:rPr>
      </w:pPr>
      <w:bookmarkStart w:id="80" w:name="_Toc15377222"/>
      <w:r>
        <w:rPr>
          <w:rFonts w:hint="eastAsia" w:ascii="仿宋" w:eastAsia="仿宋"/>
          <w:b/>
          <w:bCs/>
          <w:color w:val="000000"/>
          <w:kern w:val="0"/>
          <w:sz w:val="32"/>
          <w:szCs w:val="32"/>
        </w:rPr>
        <w:t>（一）机关运行经费支出情况</w:t>
      </w:r>
      <w:bookmarkEnd w:id="80"/>
    </w:p>
    <w:p>
      <w:pPr>
        <w:autoSpaceDE w:val="0"/>
        <w:autoSpaceDN w:val="0"/>
        <w:ind w:firstLine="640" w:firstLineChars="200"/>
        <w:rPr>
          <w:rFonts w:eastAsia="仿宋"/>
          <w:color w:val="000000"/>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w:t>
      </w:r>
      <w:r>
        <w:rPr>
          <w:rFonts w:hint="eastAsia" w:eastAsia="仿宋"/>
          <w:color w:val="000000"/>
          <w:sz w:val="32"/>
          <w:szCs w:val="32"/>
        </w:rPr>
        <w:t>攀枝花市仁和区金江中小学机关运行经费支出0万元，与</w:t>
      </w:r>
      <w:r>
        <w:rPr>
          <w:rFonts w:eastAsia="仿宋"/>
          <w:color w:val="000000"/>
          <w:sz w:val="32"/>
          <w:szCs w:val="32"/>
        </w:rPr>
        <w:t>202</w:t>
      </w:r>
      <w:r>
        <w:rPr>
          <w:rFonts w:hint="eastAsia" w:eastAsia="仿宋"/>
          <w:color w:val="000000"/>
          <w:sz w:val="32"/>
          <w:szCs w:val="32"/>
        </w:rPr>
        <w:t>3年决算数持平。</w:t>
      </w:r>
    </w:p>
    <w:p>
      <w:pPr>
        <w:spacing w:line="600" w:lineRule="exact"/>
        <w:ind w:firstLine="642" w:firstLineChars="200"/>
        <w:outlineLvl w:val="2"/>
        <w:rPr>
          <w:rFonts w:ascii="仿宋" w:eastAsia="仿宋"/>
          <w:b/>
          <w:bCs/>
          <w:color w:val="000000"/>
          <w:kern w:val="0"/>
          <w:sz w:val="32"/>
          <w:szCs w:val="32"/>
        </w:rPr>
      </w:pPr>
      <w:bookmarkStart w:id="81" w:name="_Toc15377223"/>
      <w:r>
        <w:rPr>
          <w:rFonts w:hint="eastAsia" w:ascii="仿宋" w:eastAsia="仿宋"/>
          <w:b/>
          <w:bCs/>
          <w:color w:val="000000"/>
          <w:kern w:val="0"/>
          <w:sz w:val="32"/>
          <w:szCs w:val="32"/>
        </w:rPr>
        <w:t>（二）政府采购支出情况</w:t>
      </w:r>
      <w:bookmarkEnd w:id="81"/>
    </w:p>
    <w:p>
      <w:pPr>
        <w:spacing w:line="600" w:lineRule="exact"/>
        <w:ind w:firstLine="640"/>
        <w:rPr>
          <w:rFonts w:eastAsia="仿宋"/>
          <w:color w:val="000000"/>
          <w:sz w:val="32"/>
          <w:szCs w:val="32"/>
        </w:rPr>
      </w:pPr>
      <w:r>
        <w:rPr>
          <w:rFonts w:hint="eastAsia" w:eastAsia="仿宋"/>
          <w:color w:val="000000"/>
          <w:sz w:val="32"/>
          <w:szCs w:val="32"/>
        </w:rPr>
        <w:t>2024年度，四川省攀枝花市仁和区金江中小学政府采购支出总额0万元，其中：政府采购货物支出0万元、政府采购工程支出0万元、政府采购服务支出0万元。主要用于……（具体工作）。授予中小企业合同金额0万元，占政府采购支出总额的0%，其中：授予小微企业合同金额0万元，占政府采购支出总额的0%。</w:t>
      </w:r>
    </w:p>
    <w:p>
      <w:pPr>
        <w:spacing w:line="600" w:lineRule="exact"/>
        <w:ind w:firstLine="642" w:firstLineChars="200"/>
        <w:outlineLvl w:val="2"/>
        <w:rPr>
          <w:rFonts w:ascii="仿宋" w:eastAsia="仿宋"/>
          <w:b/>
          <w:bCs/>
          <w:color w:val="000000"/>
          <w:kern w:val="0"/>
          <w:sz w:val="32"/>
          <w:szCs w:val="32"/>
        </w:rPr>
      </w:pPr>
      <w:bookmarkStart w:id="82" w:name="_Toc15377224"/>
      <w:r>
        <w:rPr>
          <w:rFonts w:hint="eastAsia" w:ascii="仿宋" w:eastAsia="仿宋"/>
          <w:b/>
          <w:bCs/>
          <w:color w:val="000000"/>
          <w:kern w:val="0"/>
          <w:sz w:val="32"/>
          <w:szCs w:val="32"/>
        </w:rPr>
        <w:t>（三）国有资产占有使用情况</w:t>
      </w:r>
      <w:bookmarkEnd w:id="82"/>
    </w:p>
    <w:p>
      <w:pPr>
        <w:autoSpaceDE w:val="0"/>
        <w:autoSpaceDN w:val="0"/>
        <w:adjustRightInd w:val="0"/>
        <w:spacing w:line="600" w:lineRule="exact"/>
        <w:ind w:firstLine="640" w:firstLineChars="200"/>
        <w:jc w:val="left"/>
        <w:rPr>
          <w:rFonts w:eastAsia="仿宋"/>
          <w:sz w:val="32"/>
          <w:szCs w:val="32"/>
        </w:rPr>
      </w:pPr>
      <w:r>
        <w:rPr>
          <w:rFonts w:hint="eastAsia" w:eastAsia="仿宋"/>
          <w:sz w:val="32"/>
          <w:szCs w:val="32"/>
        </w:rPr>
        <w:t>截至2024年12月31日</w:t>
      </w:r>
      <w:r>
        <w:rPr>
          <w:rFonts w:hint="eastAsia" w:ascii="仿宋_GB2312" w:hAnsi="仿宋_GB2312" w:eastAsia="仿宋_GB2312" w:cs="仿宋_GB2312"/>
          <w:sz w:val="32"/>
          <w:szCs w:val="32"/>
        </w:rPr>
        <w:t xml:space="preserve">， </w:t>
      </w:r>
      <w:r>
        <w:rPr>
          <w:rFonts w:hint="eastAsia" w:eastAsia="仿宋"/>
          <w:sz w:val="32"/>
          <w:szCs w:val="32"/>
        </w:rPr>
        <w:t>攀枝花市仁和区金江中小学共有车辆0辆，其中：副部（省）级及以上领导用车0辆、主要领导干部用车0辆、机要通信用车0辆、应急保障用车0辆、执法执勤用车0辆、特种专业技术用车0辆、离退休干部用车0辆、其他用车0辆。单价100万元（含）以上设备0台（套)。</w:t>
      </w:r>
    </w:p>
    <w:p>
      <w:pPr>
        <w:spacing w:line="600" w:lineRule="exact"/>
        <w:ind w:firstLine="642" w:firstLineChars="200"/>
        <w:outlineLvl w:val="2"/>
        <w:rPr>
          <w:rFonts w:ascii="仿宋" w:eastAsia="仿宋"/>
          <w:b/>
          <w:bCs/>
          <w:color w:val="000000"/>
          <w:kern w:val="0"/>
          <w:sz w:val="32"/>
          <w:szCs w:val="32"/>
        </w:rPr>
      </w:pPr>
      <w:r>
        <w:rPr>
          <w:rFonts w:hint="eastAsia" w:ascii="仿宋" w:eastAsia="仿宋"/>
          <w:b/>
          <w:bCs/>
          <w:color w:val="000000"/>
          <w:kern w:val="0"/>
          <w:sz w:val="32"/>
          <w:szCs w:val="32"/>
        </w:rPr>
        <w:t>（四）预算绩效管理情况</w:t>
      </w:r>
    </w:p>
    <w:p>
      <w:pPr>
        <w:spacing w:line="600" w:lineRule="exact"/>
        <w:ind w:firstLine="640"/>
        <w:rPr>
          <w:rFonts w:eastAsia="仿宋"/>
          <w:sz w:val="32"/>
          <w:szCs w:val="32"/>
        </w:rPr>
      </w:pPr>
      <w:r>
        <w:rPr>
          <w:rFonts w:hint="eastAsia" w:eastAsia="仿宋"/>
          <w:sz w:val="32"/>
          <w:szCs w:val="32"/>
        </w:rPr>
        <w:t>根据预算绩效管理要求，攀枝花市仁和区金江中小学在2024年度预算编制阶段，组织对学校音、体、美教室标准化建设，学生营养餐，劳务费，农村学校校舍安全保障，残疾儿童送教上门服务等5个项目开展了预算事前绩效评估，对5个项目编制了绩效目标，预算执行过程中，选取2个项目开展绩效监控。</w:t>
      </w:r>
    </w:p>
    <w:p>
      <w:pPr>
        <w:spacing w:line="600" w:lineRule="exact"/>
        <w:ind w:firstLine="640"/>
        <w:rPr>
          <w:rFonts w:eastAsia="仿宋_GB2312" w:cs="仿宋_GB2312"/>
          <w:b/>
          <w:bCs/>
          <w:sz w:val="32"/>
          <w:szCs w:val="32"/>
        </w:rPr>
      </w:pPr>
      <w:r>
        <w:rPr>
          <w:rFonts w:hint="eastAsia" w:eastAsia="仿宋"/>
          <w:sz w:val="32"/>
          <w:szCs w:val="32"/>
        </w:rPr>
        <w:t>组织对2024年度一般公共预算、政府性基金预算、国有资本经营预算、社会保险基金预算以及资本资产、债券资金等全面开展绩效自评，形成金江中小学部门整体（含部门预算项目）绩效自评报告、金江中小学等专项预算项目绩效自评报告，其中，金江中小学部门整体（含部门预算项目）绩效自评得分为86分，绩效自评综述严格按照预算管理规范相关支出科目，做到专款专用，公用经费专项预算项目绩效自评得分为85分；绩效自评综述：严格按照预算管理规范相关支出科目，做到专款专用。绩效自评报告详见附件。</w:t>
      </w:r>
      <w:r>
        <w:rPr>
          <w:rFonts w:hint="eastAsia" w:eastAsia="仿宋_GB2312" w:cs="仿宋_GB2312"/>
          <w:b/>
          <w:bCs/>
          <w:sz w:val="32"/>
          <w:szCs w:val="32"/>
        </w:rPr>
        <w:t>（注：如不涉及，可根据实际修改表述。）</w:t>
      </w:r>
    </w:p>
    <w:p>
      <w:pPr>
        <w:spacing w:line="600" w:lineRule="exact"/>
        <w:ind w:firstLine="640"/>
        <w:rPr>
          <w:rFonts w:eastAsia="仿宋_GB2312" w:cs="仿宋_GB2312"/>
          <w:sz w:val="32"/>
          <w:szCs w:val="32"/>
        </w:rPr>
      </w:pPr>
    </w:p>
    <w:p>
      <w:pPr>
        <w:spacing w:line="600" w:lineRule="exact"/>
        <w:ind w:firstLine="640"/>
        <w:rPr>
          <w:rFonts w:eastAsia="仿宋_GB2312" w:cs="仿宋_GB2312"/>
          <w:sz w:val="32"/>
          <w:szCs w:val="32"/>
        </w:rPr>
      </w:pPr>
    </w:p>
    <w:p>
      <w:pPr>
        <w:spacing w:line="600" w:lineRule="exact"/>
        <w:jc w:val="center"/>
        <w:outlineLvl w:val="0"/>
        <w:rPr>
          <w:rFonts w:eastAsia="黑体"/>
          <w:sz w:val="44"/>
          <w:szCs w:val="44"/>
        </w:rPr>
      </w:pPr>
      <w:bookmarkStart w:id="83" w:name="_Toc15377225"/>
      <w:bookmarkStart w:id="84" w:name="_Toc208085683"/>
      <w:bookmarkStart w:id="85" w:name="_Toc15396613"/>
      <w:bookmarkStart w:id="86" w:name="_Toc208087292"/>
      <w:r>
        <w:rPr>
          <w:rFonts w:hint="eastAsia" w:eastAsia="黑体"/>
          <w:sz w:val="44"/>
          <w:szCs w:val="44"/>
        </w:rPr>
        <w:t>第三部分名词解释</w:t>
      </w:r>
      <w:bookmarkEnd w:id="83"/>
      <w:bookmarkEnd w:id="84"/>
      <w:bookmarkEnd w:id="85"/>
      <w:bookmarkEnd w:id="86"/>
    </w:p>
    <w:p>
      <w:pPr>
        <w:spacing w:line="600" w:lineRule="exact"/>
        <w:jc w:val="left"/>
        <w:rPr>
          <w:b/>
          <w:sz w:val="44"/>
          <w:szCs w:val="44"/>
        </w:rPr>
      </w:pPr>
    </w:p>
    <w:p>
      <w:pPr>
        <w:pStyle w:val="32"/>
        <w:spacing w:line="560" w:lineRule="exact"/>
        <w:ind w:firstLine="640" w:firstLineChars="200"/>
        <w:rPr>
          <w:rFonts w:ascii="Times New Roman" w:hAnsi="Times New Roman" w:cs="Times New Roman"/>
          <w:color w:val="auto"/>
          <w:kern w:val="2"/>
          <w:sz w:val="32"/>
          <w:szCs w:val="32"/>
        </w:rPr>
      </w:pPr>
      <w:bookmarkStart w:id="87" w:name="_Toc10232"/>
      <w:r>
        <w:rPr>
          <w:rFonts w:ascii="Times New Roman" w:hAnsi="Times New Roman" w:cs="Times New Roman"/>
          <w:color w:val="auto"/>
          <w:kern w:val="2"/>
          <w:sz w:val="32"/>
          <w:szCs w:val="32"/>
        </w:rPr>
        <w:t>1.</w:t>
      </w:r>
      <w:r>
        <w:rPr>
          <w:rFonts w:hint="eastAsia" w:ascii="Times New Roman" w:hAnsi="Times New Roman" w:cs="Times New Roman"/>
          <w:color w:val="auto"/>
          <w:kern w:val="2"/>
          <w:sz w:val="32"/>
          <w:szCs w:val="32"/>
        </w:rPr>
        <w:t>财政拨款收入：指部门从同级财政部门取得的财政预算资金。</w:t>
      </w:r>
    </w:p>
    <w:p>
      <w:pPr>
        <w:pStyle w:val="32"/>
        <w:spacing w:line="560" w:lineRule="exact"/>
        <w:ind w:firstLine="640" w:firstLineChars="200"/>
        <w:rPr>
          <w:rFonts w:ascii="Times New Roman" w:hAnsi="Times New Roman" w:cs="Times New Roman"/>
          <w:color w:val="auto"/>
          <w:kern w:val="2"/>
          <w:sz w:val="32"/>
          <w:szCs w:val="32"/>
        </w:rPr>
      </w:pPr>
      <w:r>
        <w:rPr>
          <w:rFonts w:ascii="Times New Roman" w:hAnsi="Times New Roman" w:cs="Times New Roman"/>
          <w:color w:val="auto"/>
          <w:kern w:val="2"/>
          <w:sz w:val="32"/>
          <w:szCs w:val="32"/>
        </w:rPr>
        <w:t>2.</w:t>
      </w:r>
      <w:r>
        <w:rPr>
          <w:rFonts w:hint="eastAsia" w:ascii="Times New Roman" w:hAnsi="Times New Roman" w:cs="Times New Roman"/>
          <w:color w:val="auto"/>
          <w:kern w:val="2"/>
          <w:sz w:val="32"/>
          <w:szCs w:val="32"/>
        </w:rPr>
        <w:t>事业收入：指事业部门开展专业业务活动及辅助活动取得的收入。</w:t>
      </w:r>
    </w:p>
    <w:p>
      <w:pPr>
        <w:pStyle w:val="32"/>
        <w:spacing w:line="560" w:lineRule="exact"/>
        <w:ind w:firstLine="640" w:firstLineChars="200"/>
        <w:rPr>
          <w:rFonts w:ascii="Times New Roman" w:hAnsi="Times New Roman" w:cs="Times New Roman"/>
          <w:color w:val="auto"/>
          <w:kern w:val="2"/>
          <w:sz w:val="32"/>
          <w:szCs w:val="32"/>
        </w:rPr>
      </w:pPr>
      <w:r>
        <w:rPr>
          <w:rFonts w:ascii="Times New Roman" w:hAnsi="Times New Roman" w:cs="Times New Roman"/>
          <w:color w:val="auto"/>
          <w:kern w:val="2"/>
          <w:sz w:val="32"/>
          <w:szCs w:val="32"/>
        </w:rPr>
        <w:t>3.</w:t>
      </w:r>
      <w:r>
        <w:rPr>
          <w:rFonts w:hint="eastAsia" w:ascii="Times New Roman" w:hAnsi="Times New Roman" w:cs="Times New Roman"/>
          <w:color w:val="auto"/>
          <w:kern w:val="2"/>
          <w:sz w:val="32"/>
          <w:szCs w:val="32"/>
        </w:rPr>
        <w:t>经营收入：指事业部门在专业业务活动及其辅助活动之外开展非独立核算经营活动取得的收入。</w:t>
      </w:r>
    </w:p>
    <w:p>
      <w:pPr>
        <w:pStyle w:val="32"/>
        <w:spacing w:line="560" w:lineRule="exact"/>
        <w:ind w:firstLine="640" w:firstLineChars="200"/>
        <w:rPr>
          <w:rFonts w:ascii="Times New Roman" w:hAnsi="Times New Roman" w:cs="Times New Roman"/>
          <w:color w:val="auto"/>
          <w:kern w:val="2"/>
          <w:sz w:val="32"/>
          <w:szCs w:val="32"/>
        </w:rPr>
      </w:pPr>
      <w:r>
        <w:rPr>
          <w:rFonts w:ascii="Times New Roman" w:hAnsi="Times New Roman" w:cs="Times New Roman"/>
          <w:color w:val="auto"/>
          <w:kern w:val="2"/>
          <w:sz w:val="32"/>
          <w:szCs w:val="32"/>
        </w:rPr>
        <w:t>4.</w:t>
      </w:r>
      <w:r>
        <w:rPr>
          <w:rFonts w:hint="eastAsia" w:ascii="Times New Roman" w:hAnsi="Times New Roman" w:cs="Times New Roman"/>
          <w:color w:val="auto"/>
          <w:kern w:val="2"/>
          <w:sz w:val="32"/>
          <w:szCs w:val="32"/>
        </w:rPr>
        <w:t>其他收入：指部门取得的除上述收入以外的各项收入。主要是银行利息收。</w:t>
      </w:r>
    </w:p>
    <w:p>
      <w:pPr>
        <w:pStyle w:val="32"/>
        <w:spacing w:line="560" w:lineRule="exact"/>
        <w:ind w:firstLine="640" w:firstLineChars="200"/>
        <w:rPr>
          <w:rFonts w:ascii="Times New Roman" w:hAnsi="Times New Roman" w:cs="Times New Roman"/>
          <w:color w:val="auto"/>
          <w:kern w:val="2"/>
          <w:sz w:val="32"/>
          <w:szCs w:val="32"/>
        </w:rPr>
      </w:pPr>
      <w:r>
        <w:rPr>
          <w:rFonts w:ascii="Times New Roman" w:hAnsi="Times New Roman" w:cs="Times New Roman"/>
          <w:color w:val="auto"/>
          <w:kern w:val="2"/>
          <w:sz w:val="32"/>
          <w:szCs w:val="32"/>
        </w:rPr>
        <w:t>5.</w:t>
      </w:r>
      <w:r>
        <w:rPr>
          <w:rFonts w:hint="eastAsia" w:ascii="Times New Roman" w:hAnsi="Times New Roman" w:cs="Times New Roman"/>
          <w:color w:val="auto"/>
          <w:kern w:val="2"/>
          <w:sz w:val="32"/>
          <w:szCs w:val="32"/>
        </w:rPr>
        <w:t>使用非财政拨款结余：指事业部门使用以前年度积累的非财政拨款结余弥补当年收支差额的金额。</w:t>
      </w:r>
    </w:p>
    <w:p>
      <w:pPr>
        <w:pStyle w:val="32"/>
        <w:spacing w:line="560" w:lineRule="exact"/>
        <w:ind w:firstLine="640" w:firstLineChars="200"/>
        <w:rPr>
          <w:rFonts w:ascii="Times New Roman" w:hAnsi="Times New Roman" w:cs="Times New Roman"/>
          <w:color w:val="auto"/>
          <w:kern w:val="2"/>
          <w:sz w:val="32"/>
          <w:szCs w:val="32"/>
        </w:rPr>
      </w:pPr>
      <w:r>
        <w:rPr>
          <w:rFonts w:ascii="Times New Roman" w:hAnsi="Times New Roman" w:cs="Times New Roman"/>
          <w:color w:val="auto"/>
          <w:kern w:val="2"/>
          <w:sz w:val="32"/>
          <w:szCs w:val="32"/>
        </w:rPr>
        <w:t>6.</w:t>
      </w:r>
      <w:r>
        <w:rPr>
          <w:rFonts w:hint="eastAsia" w:ascii="Times New Roman" w:hAnsi="Times New Roman" w:cs="Times New Roman"/>
          <w:color w:val="auto"/>
          <w:kern w:val="2"/>
          <w:sz w:val="32"/>
          <w:szCs w:val="32"/>
        </w:rPr>
        <w:t>年初结转和结余：指以前年度尚未完成、结转到本年按有关规定继续使用的资金。</w:t>
      </w:r>
    </w:p>
    <w:p>
      <w:pPr>
        <w:pStyle w:val="32"/>
        <w:spacing w:line="560" w:lineRule="exact"/>
        <w:ind w:firstLine="640" w:firstLineChars="200"/>
        <w:rPr>
          <w:rFonts w:ascii="Times New Roman" w:hAnsi="Times New Roman" w:cs="Times New Roman"/>
          <w:color w:val="auto"/>
          <w:kern w:val="2"/>
          <w:sz w:val="32"/>
          <w:szCs w:val="32"/>
        </w:rPr>
      </w:pPr>
      <w:r>
        <w:rPr>
          <w:rFonts w:ascii="Times New Roman" w:hAnsi="Times New Roman" w:cs="Times New Roman"/>
          <w:color w:val="auto"/>
          <w:kern w:val="2"/>
          <w:sz w:val="32"/>
          <w:szCs w:val="32"/>
        </w:rPr>
        <w:t>7.</w:t>
      </w:r>
      <w:r>
        <w:rPr>
          <w:rFonts w:hint="eastAsia" w:ascii="Times New Roman" w:hAnsi="Times New Roman" w:cs="Times New Roman"/>
          <w:color w:val="auto"/>
          <w:kern w:val="2"/>
          <w:sz w:val="32"/>
          <w:szCs w:val="32"/>
        </w:rPr>
        <w:t>结余分配：指事业部门按照会计制度规定缴纳的所得税、提取的专用结余以及转入非财政拨款结余的金额等。</w:t>
      </w:r>
    </w:p>
    <w:p>
      <w:pPr>
        <w:pStyle w:val="32"/>
        <w:spacing w:line="560" w:lineRule="exact"/>
        <w:ind w:firstLine="640" w:firstLineChars="200"/>
        <w:rPr>
          <w:rFonts w:ascii="Times New Roman" w:hAnsi="Times New Roman" w:cs="Times New Roman"/>
          <w:color w:val="auto"/>
          <w:kern w:val="2"/>
          <w:sz w:val="32"/>
          <w:szCs w:val="32"/>
        </w:rPr>
      </w:pPr>
      <w:r>
        <w:rPr>
          <w:rFonts w:ascii="Times New Roman" w:hAnsi="Times New Roman" w:cs="Times New Roman"/>
          <w:color w:val="auto"/>
          <w:kern w:val="2"/>
          <w:sz w:val="32"/>
          <w:szCs w:val="32"/>
        </w:rPr>
        <w:t>8</w:t>
      </w:r>
      <w:r>
        <w:rPr>
          <w:rFonts w:hint="eastAsia" w:ascii="Times New Roman" w:hAnsi="Times New Roman" w:cs="Times New Roman"/>
          <w:color w:val="auto"/>
          <w:kern w:val="2"/>
          <w:sz w:val="32"/>
          <w:szCs w:val="32"/>
        </w:rPr>
        <w:t>.年末结转和结余：指部门按有关规定结转到下年或以后年度继续使用的资金。</w:t>
      </w:r>
    </w:p>
    <w:p>
      <w:pPr>
        <w:spacing w:line="600" w:lineRule="exact"/>
        <w:ind w:firstLine="640"/>
        <w:rPr>
          <w:rFonts w:eastAsia="仿宋"/>
          <w:sz w:val="32"/>
          <w:szCs w:val="32"/>
        </w:rPr>
      </w:pPr>
      <w:r>
        <w:rPr>
          <w:rFonts w:hint="eastAsia" w:eastAsia="仿宋"/>
          <w:sz w:val="32"/>
          <w:szCs w:val="32"/>
        </w:rPr>
        <w:t>9.一般公共服务支出（类）宣传事务（款）其他宣传事务支出（项）: 指除上述项目以外其他用于中国共产党宣传部门的事务支出</w:t>
      </w:r>
    </w:p>
    <w:p>
      <w:pPr>
        <w:spacing w:line="600" w:lineRule="exact"/>
        <w:ind w:firstLine="640"/>
        <w:rPr>
          <w:rFonts w:eastAsia="仿宋"/>
          <w:sz w:val="32"/>
          <w:szCs w:val="32"/>
        </w:rPr>
      </w:pPr>
      <w:r>
        <w:rPr>
          <w:rFonts w:hint="eastAsia" w:eastAsia="仿宋"/>
          <w:sz w:val="32"/>
          <w:szCs w:val="32"/>
        </w:rPr>
        <w:t>10.教育支出（类）普通教育（款）小学教育（项）: 指各部门举办的小学教育支出。政府各部门对社会组织等举办的小学的资助、如捐赠、补贴等，也在本科目中反映。</w:t>
      </w:r>
    </w:p>
    <w:p>
      <w:pPr>
        <w:spacing w:line="600" w:lineRule="exact"/>
        <w:ind w:firstLine="640"/>
        <w:rPr>
          <w:rFonts w:eastAsia="仿宋"/>
          <w:sz w:val="32"/>
          <w:szCs w:val="32"/>
        </w:rPr>
      </w:pPr>
      <w:r>
        <w:rPr>
          <w:rFonts w:hint="eastAsia" w:eastAsia="仿宋"/>
          <w:sz w:val="32"/>
          <w:szCs w:val="32"/>
        </w:rPr>
        <w:t>11. 教育支出（类）普通教育（款）其他普通教育支出（项）: 指除上述项目以外的其他用于教育管理事务方面的支出。</w:t>
      </w:r>
    </w:p>
    <w:p>
      <w:pPr>
        <w:spacing w:line="600" w:lineRule="exact"/>
        <w:ind w:firstLine="640"/>
        <w:rPr>
          <w:rFonts w:eastAsia="仿宋"/>
          <w:sz w:val="32"/>
          <w:szCs w:val="32"/>
        </w:rPr>
      </w:pPr>
      <w:r>
        <w:rPr>
          <w:rFonts w:hint="eastAsia" w:eastAsia="仿宋"/>
          <w:sz w:val="32"/>
          <w:szCs w:val="32"/>
        </w:rPr>
        <w:t>12.教育支出（类）教育费附加安排的支出（款）其他教育费附加安排的支出（项）: 指除上述项目以外其他用于教育方面的支出。</w:t>
      </w:r>
    </w:p>
    <w:p>
      <w:pPr>
        <w:spacing w:line="600" w:lineRule="exact"/>
        <w:ind w:firstLine="640"/>
        <w:rPr>
          <w:rFonts w:eastAsia="仿宋"/>
          <w:sz w:val="32"/>
          <w:szCs w:val="32"/>
        </w:rPr>
      </w:pPr>
      <w:r>
        <w:rPr>
          <w:rFonts w:hint="eastAsia" w:eastAsia="仿宋"/>
          <w:sz w:val="32"/>
          <w:szCs w:val="32"/>
        </w:rPr>
        <w:t>13.社会保障和就业支出（类）行政事业部门养老支出（款）机关事业部门基本养老保险缴费支出（项）: 指机关事业部门实施养老保险制度由部门缴纳的基本养老保险费支出。</w:t>
      </w:r>
    </w:p>
    <w:p>
      <w:pPr>
        <w:spacing w:line="600" w:lineRule="exact"/>
        <w:ind w:firstLine="640"/>
        <w:rPr>
          <w:rFonts w:eastAsia="仿宋"/>
          <w:sz w:val="32"/>
          <w:szCs w:val="32"/>
        </w:rPr>
      </w:pPr>
      <w:r>
        <w:rPr>
          <w:rFonts w:hint="eastAsia" w:eastAsia="仿宋"/>
          <w:sz w:val="32"/>
          <w:szCs w:val="32"/>
        </w:rPr>
        <w:t>14.社会保障和就业支出（类）抚恤（款）死亡抚恤（项）: 指按规定用于烈士和牺牲、病故人员家属的一次性和定期抚恤金、丧葬补助费及烈士褒扬金。</w:t>
      </w:r>
    </w:p>
    <w:p>
      <w:pPr>
        <w:spacing w:line="600" w:lineRule="exact"/>
        <w:ind w:firstLine="640"/>
        <w:rPr>
          <w:rFonts w:eastAsia="仿宋"/>
          <w:sz w:val="32"/>
          <w:szCs w:val="32"/>
        </w:rPr>
      </w:pPr>
      <w:r>
        <w:rPr>
          <w:rFonts w:hint="eastAsia" w:eastAsia="仿宋"/>
          <w:sz w:val="32"/>
          <w:szCs w:val="32"/>
        </w:rPr>
        <w:t>15.住房保障支出（类）住房改革支出（款）住房公积金（项）: 指行政事业部门按人力资源和社会保障部、财政部规定的基本工资和津贴补贴以及规定比例为职工缴纳的住房公积金。</w:t>
      </w:r>
    </w:p>
    <w:p>
      <w:pPr>
        <w:ind w:firstLine="640" w:firstLineChars="200"/>
        <w:rPr>
          <w:rFonts w:eastAsia="仿宋"/>
          <w:sz w:val="32"/>
          <w:szCs w:val="32"/>
        </w:rPr>
      </w:pPr>
      <w:r>
        <w:rPr>
          <w:rFonts w:hint="eastAsia" w:eastAsia="仿宋"/>
          <w:sz w:val="32"/>
          <w:szCs w:val="32"/>
        </w:rPr>
        <w:t>16</w:t>
      </w:r>
      <w:r>
        <w:rPr>
          <w:rFonts w:eastAsia="仿宋"/>
          <w:sz w:val="32"/>
          <w:szCs w:val="32"/>
        </w:rPr>
        <w:t>.</w:t>
      </w:r>
      <w:r>
        <w:rPr>
          <w:rFonts w:hint="eastAsia" w:eastAsia="仿宋"/>
          <w:sz w:val="32"/>
          <w:szCs w:val="32"/>
        </w:rPr>
        <w:t>基本支出：指为保障机构正常运转、完成日常工作任务而发生的人员支出和公用支出。</w:t>
      </w:r>
    </w:p>
    <w:p>
      <w:pPr>
        <w:ind w:firstLine="640" w:firstLineChars="200"/>
        <w:rPr>
          <w:rFonts w:eastAsia="仿宋"/>
          <w:sz w:val="32"/>
          <w:szCs w:val="32"/>
        </w:rPr>
      </w:pPr>
      <w:r>
        <w:rPr>
          <w:rFonts w:hint="eastAsia" w:eastAsia="仿宋"/>
          <w:sz w:val="32"/>
          <w:szCs w:val="32"/>
        </w:rPr>
        <w:t>17</w:t>
      </w:r>
      <w:r>
        <w:rPr>
          <w:rFonts w:eastAsia="仿宋"/>
          <w:sz w:val="32"/>
          <w:szCs w:val="32"/>
        </w:rPr>
        <w:t>.</w:t>
      </w:r>
      <w:r>
        <w:rPr>
          <w:rFonts w:hint="eastAsia" w:eastAsia="仿宋"/>
          <w:sz w:val="32"/>
          <w:szCs w:val="32"/>
        </w:rPr>
        <w:t>项目支出：指在基本支出之外为完成特定行政任务和事业发展目标所发生的支出。</w:t>
      </w:r>
    </w:p>
    <w:p>
      <w:pPr>
        <w:ind w:firstLine="640" w:firstLineChars="200"/>
        <w:rPr>
          <w:rFonts w:eastAsia="仿宋"/>
          <w:sz w:val="32"/>
          <w:szCs w:val="32"/>
        </w:rPr>
      </w:pPr>
      <w:r>
        <w:rPr>
          <w:rFonts w:hint="eastAsia" w:eastAsia="仿宋"/>
          <w:sz w:val="32"/>
          <w:szCs w:val="32"/>
        </w:rPr>
        <w:t>18</w:t>
      </w:r>
      <w:r>
        <w:rPr>
          <w:rFonts w:eastAsia="仿宋"/>
          <w:sz w:val="32"/>
          <w:szCs w:val="32"/>
        </w:rPr>
        <w:t>.</w:t>
      </w:r>
      <w:r>
        <w:rPr>
          <w:rFonts w:hint="eastAsia" w:eastAsia="仿宋"/>
          <w:sz w:val="32"/>
          <w:szCs w:val="32"/>
        </w:rPr>
        <w:t>经营支出：指事业部门在专业业务活动及其辅助活动之外开展非独立核算经营活动发生的支出。</w:t>
      </w:r>
    </w:p>
    <w:p>
      <w:pPr>
        <w:pStyle w:val="32"/>
        <w:spacing w:line="560" w:lineRule="exact"/>
        <w:ind w:firstLine="640" w:firstLineChars="200"/>
        <w:rPr>
          <w:rFonts w:ascii="Times New Roman" w:hAnsi="Times New Roman" w:cs="Times New Roman"/>
          <w:color w:val="auto"/>
          <w:kern w:val="2"/>
          <w:sz w:val="32"/>
          <w:szCs w:val="32"/>
        </w:rPr>
      </w:pPr>
      <w:r>
        <w:rPr>
          <w:rFonts w:hint="eastAsia" w:ascii="Times New Roman" w:hAnsi="Times New Roman" w:cs="Times New Roman"/>
          <w:color w:val="auto"/>
          <w:kern w:val="2"/>
          <w:sz w:val="32"/>
          <w:szCs w:val="32"/>
        </w:rPr>
        <w:t>19</w:t>
      </w:r>
      <w:r>
        <w:rPr>
          <w:rFonts w:ascii="Times New Roman" w:hAnsi="Times New Roman" w:cs="Times New Roman"/>
          <w:color w:val="auto"/>
          <w:kern w:val="2"/>
          <w:sz w:val="32"/>
          <w:szCs w:val="32"/>
        </w:rPr>
        <w:t>.</w:t>
      </w:r>
      <w:r>
        <w:rPr>
          <w:rFonts w:hint="eastAsia" w:ascii="Times New Roman" w:hAnsi="Times New Roman" w:cs="Times New Roman"/>
          <w:color w:val="auto"/>
          <w:kern w:val="2"/>
          <w:sz w:val="32"/>
          <w:szCs w:val="32"/>
        </w:rPr>
        <w:t>“三公”经费：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pPr>
        <w:pStyle w:val="32"/>
        <w:spacing w:before="93" w:line="560" w:lineRule="exact"/>
        <w:ind w:firstLine="640" w:firstLineChars="200"/>
        <w:rPr>
          <w:rFonts w:ascii="Times New Roman" w:hAnsi="Times New Roman" w:cs="Times New Roman"/>
          <w:color w:val="auto"/>
          <w:kern w:val="2"/>
          <w:sz w:val="32"/>
          <w:szCs w:val="32"/>
        </w:rPr>
      </w:pPr>
      <w:r>
        <w:rPr>
          <w:rFonts w:hint="eastAsia" w:ascii="Times New Roman" w:hAnsi="Times New Roman" w:cs="Times New Roman"/>
          <w:color w:val="auto"/>
          <w:kern w:val="2"/>
          <w:sz w:val="32"/>
          <w:szCs w:val="32"/>
        </w:rPr>
        <w:t>20</w:t>
      </w:r>
      <w:r>
        <w:rPr>
          <w:rFonts w:ascii="Times New Roman" w:hAnsi="Times New Roman" w:cs="Times New Roman"/>
          <w:color w:val="auto"/>
          <w:kern w:val="2"/>
          <w:sz w:val="32"/>
          <w:szCs w:val="32"/>
        </w:rPr>
        <w:t>.</w:t>
      </w:r>
      <w:r>
        <w:rPr>
          <w:rFonts w:hint="eastAsia" w:ascii="Times New Roman" w:hAnsi="Times New Roman" w:cs="Times New Roman"/>
          <w:color w:val="auto"/>
          <w:kern w:val="2"/>
          <w:sz w:val="32"/>
          <w:szCs w:val="32"/>
        </w:rPr>
        <w:t>机关运行经费：为保障行政部门（含参照公务员法管理的事业部门）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87"/>
    <w:p>
      <w:pPr>
        <w:spacing w:line="600" w:lineRule="exact"/>
        <w:ind w:firstLine="640"/>
        <w:rPr>
          <w:rFonts w:eastAsia="仿宋_GB2312" w:cs="仿宋_GB2312"/>
          <w:sz w:val="32"/>
          <w:szCs w:val="32"/>
        </w:rPr>
      </w:pPr>
      <w:r>
        <w:rPr>
          <w:rFonts w:hint="eastAsia" w:eastAsia="仿宋_GB2312" w:cs="仿宋_GB2312"/>
          <w:b/>
          <w:bCs/>
          <w:sz w:val="32"/>
          <w:szCs w:val="32"/>
        </w:rPr>
        <w:t>（注：解释本部门决算报表中涉及的全部功能分类科目至项级，不涉及的科目请自行删除。请参照《2024年政府收支分类科目》增减内容）</w:t>
      </w:r>
    </w:p>
    <w:p>
      <w:pPr>
        <w:spacing w:line="600" w:lineRule="exact"/>
        <w:ind w:firstLine="640"/>
        <w:rPr>
          <w:rFonts w:eastAsia="仿宋_GB2312" w:cs="仿宋_GB2312"/>
          <w:b/>
          <w:bCs/>
          <w:sz w:val="32"/>
          <w:szCs w:val="32"/>
        </w:rPr>
      </w:pPr>
      <w:r>
        <w:rPr>
          <w:rFonts w:hint="eastAsia" w:eastAsia="仿宋_GB2312" w:cs="仿宋_GB2312"/>
          <w:b/>
          <w:bCs/>
          <w:sz w:val="32"/>
          <w:szCs w:val="32"/>
        </w:rPr>
        <w:t>（注：名词解释部分请根据各部门实际列支情况罗列，并根据本部门职责职能增减名词解释内容）</w:t>
      </w:r>
    </w:p>
    <w:p>
      <w:pPr>
        <w:spacing w:line="600" w:lineRule="exact"/>
        <w:jc w:val="center"/>
        <w:outlineLvl w:val="0"/>
        <w:rPr>
          <w:bCs/>
        </w:rPr>
      </w:pPr>
      <w:bookmarkStart w:id="88" w:name="_Toc15377226"/>
      <w:r>
        <w:rPr>
          <w:rFonts w:hint="eastAsia" w:eastAsia="仿宋_GB2312" w:cs="仿宋_GB2312"/>
          <w:sz w:val="32"/>
          <w:szCs w:val="32"/>
        </w:rPr>
        <w:br w:type="page"/>
      </w:r>
      <w:bookmarkStart w:id="89" w:name="_Toc208087293"/>
      <w:bookmarkStart w:id="90" w:name="_Toc208085684"/>
      <w:bookmarkStart w:id="91" w:name="_Toc15396614"/>
      <w:r>
        <w:rPr>
          <w:rFonts w:hint="eastAsia" w:eastAsia="黑体"/>
          <w:sz w:val="44"/>
          <w:szCs w:val="44"/>
        </w:rPr>
        <w:t>第四部分附件</w:t>
      </w:r>
      <w:bookmarkEnd w:id="89"/>
      <w:bookmarkEnd w:id="90"/>
      <w:bookmarkEnd w:id="91"/>
    </w:p>
    <w:p>
      <w:pPr>
        <w:pStyle w:val="9"/>
        <w:spacing w:before="93"/>
        <w:rPr>
          <w:rFonts w:ascii="Times New Roman" w:eastAsia="黑体" w:cs="黑体"/>
          <w:sz w:val="32"/>
          <w:szCs w:val="32"/>
          <w:shd w:val="clear" w:color="auto" w:fill="FFFFFF"/>
          <w:lang w:val="zh-CN"/>
        </w:rPr>
      </w:pPr>
      <w:r>
        <w:rPr>
          <w:rFonts w:hint="eastAsia" w:ascii="Times New Roman" w:eastAsia="黑体" w:cs="黑体"/>
          <w:sz w:val="32"/>
          <w:szCs w:val="32"/>
          <w:shd w:val="clear" w:color="auto" w:fill="FFFFFF"/>
          <w:lang w:val="zh-CN"/>
        </w:rPr>
        <w:t>附件1</w:t>
      </w:r>
    </w:p>
    <w:p>
      <w:pPr>
        <w:widowControl/>
        <w:spacing w:line="578" w:lineRule="exact"/>
        <w:contextualSpacing/>
        <w:jc w:val="center"/>
        <w:rPr>
          <w:rFonts w:eastAsia="方正小标宋简体"/>
          <w:bCs/>
          <w:sz w:val="44"/>
          <w:szCs w:val="44"/>
          <w:shd w:val="clear" w:color="auto" w:fill="FFFFFF"/>
        </w:rPr>
      </w:pPr>
    </w:p>
    <w:p>
      <w:pPr>
        <w:widowControl/>
        <w:spacing w:line="578" w:lineRule="exact"/>
        <w:contextualSpacing/>
        <w:jc w:val="center"/>
        <w:rPr>
          <w:rFonts w:eastAsia="黑体"/>
          <w:sz w:val="44"/>
          <w:szCs w:val="44"/>
        </w:rPr>
      </w:pPr>
      <w:r>
        <w:rPr>
          <w:rFonts w:eastAsia="黑体"/>
          <w:sz w:val="44"/>
          <w:szCs w:val="44"/>
        </w:rPr>
        <w:t>部门预算绩效</w:t>
      </w:r>
      <w:r>
        <w:rPr>
          <w:rFonts w:hint="eastAsia" w:eastAsia="黑体"/>
          <w:sz w:val="44"/>
          <w:szCs w:val="44"/>
        </w:rPr>
        <w:t>评价</w:t>
      </w:r>
      <w:r>
        <w:rPr>
          <w:rFonts w:eastAsia="黑体"/>
          <w:sz w:val="44"/>
          <w:szCs w:val="44"/>
        </w:rPr>
        <w:t>报告范本</w:t>
      </w:r>
    </w:p>
    <w:p>
      <w:pPr>
        <w:widowControl/>
        <w:spacing w:line="578" w:lineRule="exact"/>
        <w:contextualSpacing/>
        <w:jc w:val="center"/>
        <w:rPr>
          <w:rFonts w:eastAsia="仿宋"/>
          <w:sz w:val="32"/>
          <w:szCs w:val="32"/>
        </w:rPr>
      </w:pPr>
      <w:r>
        <w:rPr>
          <w:rFonts w:eastAsia="仿宋"/>
          <w:sz w:val="32"/>
          <w:szCs w:val="32"/>
        </w:rPr>
        <w:t>（报告范围包括机关和下属单位）</w:t>
      </w:r>
    </w:p>
    <w:p>
      <w:pPr>
        <w:pStyle w:val="2"/>
      </w:pPr>
    </w:p>
    <w:p>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部门（单位）基本情况</w:t>
      </w:r>
    </w:p>
    <w:p>
      <w:pPr>
        <w:widowControl/>
        <w:adjustRightInd w:val="0"/>
        <w:snapToGrid w:val="0"/>
        <w:spacing w:line="578" w:lineRule="exact"/>
        <w:ind w:firstLine="642" w:firstLineChars="200"/>
        <w:contextualSpacing/>
        <w:jc w:val="left"/>
        <w:rPr>
          <w:rFonts w:eastAsia="仿宋"/>
          <w:b/>
          <w:bCs/>
          <w:sz w:val="32"/>
          <w:szCs w:val="32"/>
        </w:rPr>
      </w:pPr>
      <w:r>
        <w:rPr>
          <w:rFonts w:hint="eastAsia" w:eastAsia="仿宋"/>
          <w:b/>
          <w:bCs/>
          <w:sz w:val="32"/>
          <w:szCs w:val="32"/>
        </w:rPr>
        <w:t>（一）</w:t>
      </w:r>
      <w:r>
        <w:rPr>
          <w:rFonts w:eastAsia="仿宋"/>
          <w:b/>
          <w:bCs/>
          <w:sz w:val="32"/>
          <w:szCs w:val="32"/>
        </w:rPr>
        <w:t>机构组成。</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攀枝花市仁和区金江中小学二级预算单位一个，共设教务、总务、德育、办公室、财务室5个职能部门，共有73名教职工，47名退休教师，截止2024年12月金江中小学共有17个教学班级，396名学生。</w:t>
      </w:r>
    </w:p>
    <w:p>
      <w:pPr>
        <w:widowControl/>
        <w:adjustRightInd w:val="0"/>
        <w:snapToGrid w:val="0"/>
        <w:spacing w:line="578" w:lineRule="exact"/>
        <w:ind w:firstLine="642" w:firstLineChars="200"/>
        <w:contextualSpacing/>
        <w:jc w:val="left"/>
        <w:rPr>
          <w:rFonts w:eastAsia="仿宋"/>
          <w:b/>
          <w:bCs/>
          <w:sz w:val="32"/>
          <w:szCs w:val="32"/>
        </w:rPr>
      </w:pPr>
      <w:r>
        <w:rPr>
          <w:rFonts w:eastAsia="仿宋"/>
          <w:b/>
          <w:bCs/>
          <w:sz w:val="32"/>
          <w:szCs w:val="32"/>
        </w:rPr>
        <w:t>（二）机构职能</w:t>
      </w:r>
      <w:r>
        <w:rPr>
          <w:rFonts w:hint="eastAsia" w:eastAsia="仿宋"/>
          <w:b/>
          <w:bCs/>
          <w:sz w:val="32"/>
          <w:szCs w:val="32"/>
        </w:rPr>
        <w:t>。</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金江中小学职能是完成几年义务教育小学，初中阶段的义务教育，承担其他义务教育阶段的社会工作。</w:t>
      </w:r>
    </w:p>
    <w:p>
      <w:pPr>
        <w:spacing w:line="600" w:lineRule="exact"/>
        <w:ind w:firstLine="642" w:firstLineChars="200"/>
        <w:rPr>
          <w:rFonts w:eastAsia="仿宋"/>
          <w:b/>
          <w:bCs/>
          <w:sz w:val="32"/>
          <w:szCs w:val="32"/>
        </w:rPr>
      </w:pPr>
      <w:r>
        <w:rPr>
          <w:rFonts w:eastAsia="仿宋"/>
          <w:b/>
          <w:bCs/>
          <w:sz w:val="32"/>
          <w:szCs w:val="32"/>
        </w:rPr>
        <w:t>（</w:t>
      </w:r>
      <w:r>
        <w:rPr>
          <w:rFonts w:hint="eastAsia" w:eastAsia="仿宋"/>
          <w:b/>
          <w:bCs/>
          <w:sz w:val="32"/>
          <w:szCs w:val="32"/>
        </w:rPr>
        <w:t>三</w:t>
      </w:r>
      <w:r>
        <w:rPr>
          <w:rFonts w:eastAsia="仿宋"/>
          <w:b/>
          <w:bCs/>
          <w:sz w:val="32"/>
          <w:szCs w:val="32"/>
        </w:rPr>
        <w:t>）人员概况</w:t>
      </w:r>
      <w:r>
        <w:rPr>
          <w:rFonts w:hint="eastAsia" w:eastAsia="仿宋"/>
          <w:b/>
          <w:bCs/>
          <w:sz w:val="32"/>
          <w:szCs w:val="32"/>
        </w:rPr>
        <w:t>。</w:t>
      </w:r>
    </w:p>
    <w:p>
      <w:pPr>
        <w:spacing w:line="600" w:lineRule="exact"/>
        <w:ind w:firstLine="640" w:firstLineChars="200"/>
        <w:rPr>
          <w:rFonts w:eastAsia="仿宋"/>
          <w:sz w:val="32"/>
          <w:szCs w:val="32"/>
        </w:rPr>
      </w:pPr>
      <w:r>
        <w:rPr>
          <w:rFonts w:eastAsia="仿宋"/>
          <w:sz w:val="32"/>
          <w:szCs w:val="32"/>
        </w:rPr>
        <w:t>截至202</w:t>
      </w:r>
      <w:r>
        <w:rPr>
          <w:rFonts w:hint="eastAsia" w:eastAsia="仿宋"/>
          <w:sz w:val="32"/>
          <w:szCs w:val="32"/>
        </w:rPr>
        <w:t>4</w:t>
      </w:r>
      <w:r>
        <w:rPr>
          <w:rFonts w:eastAsia="仿宋"/>
          <w:sz w:val="32"/>
          <w:szCs w:val="32"/>
        </w:rPr>
        <w:t>年末，</w:t>
      </w:r>
      <w:r>
        <w:rPr>
          <w:rFonts w:hint="eastAsia" w:eastAsia="仿宋"/>
          <w:sz w:val="32"/>
          <w:szCs w:val="32"/>
        </w:rPr>
        <w:t>金江中小学有编制数35个，实有教职工73人。</w:t>
      </w:r>
    </w:p>
    <w:p>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pPr>
        <w:widowControl/>
        <w:adjustRightInd w:val="0"/>
        <w:snapToGrid w:val="0"/>
        <w:spacing w:line="578" w:lineRule="exact"/>
        <w:ind w:firstLine="642" w:firstLineChars="200"/>
        <w:contextualSpacing/>
        <w:jc w:val="left"/>
        <w:rPr>
          <w:rFonts w:eastAsia="仿宋"/>
          <w:b/>
          <w:bCs/>
          <w:sz w:val="32"/>
          <w:szCs w:val="32"/>
        </w:rPr>
      </w:pPr>
      <w:r>
        <w:rPr>
          <w:rFonts w:eastAsia="仿宋"/>
          <w:b/>
          <w:bCs/>
          <w:sz w:val="32"/>
          <w:szCs w:val="32"/>
        </w:rPr>
        <w:t>（一）</w:t>
      </w:r>
      <w:r>
        <w:rPr>
          <w:rFonts w:hint="eastAsia" w:eastAsia="仿宋"/>
          <w:b/>
          <w:bCs/>
          <w:sz w:val="32"/>
          <w:szCs w:val="32"/>
        </w:rPr>
        <w:t>收入情况</w:t>
      </w:r>
      <w:r>
        <w:rPr>
          <w:rFonts w:eastAsia="仿宋"/>
          <w:b/>
          <w:bCs/>
          <w:sz w:val="32"/>
          <w:szCs w:val="32"/>
        </w:rPr>
        <w:t>。</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金江中小学2024年年初预算收入1953.43万元。</w:t>
      </w:r>
    </w:p>
    <w:p>
      <w:pPr>
        <w:widowControl/>
        <w:adjustRightInd w:val="0"/>
        <w:snapToGrid w:val="0"/>
        <w:spacing w:line="578" w:lineRule="exact"/>
        <w:ind w:firstLine="642" w:firstLineChars="200"/>
        <w:contextualSpacing/>
        <w:jc w:val="left"/>
        <w:rPr>
          <w:rFonts w:eastAsia="仿宋"/>
          <w:b/>
          <w:bCs/>
          <w:sz w:val="32"/>
          <w:szCs w:val="32"/>
        </w:rPr>
      </w:pPr>
      <w:r>
        <w:rPr>
          <w:rFonts w:eastAsia="仿宋"/>
          <w:b/>
          <w:bCs/>
          <w:sz w:val="32"/>
          <w:szCs w:val="32"/>
        </w:rPr>
        <w:t>（</w:t>
      </w:r>
      <w:r>
        <w:rPr>
          <w:rFonts w:hint="eastAsia" w:eastAsia="仿宋"/>
          <w:b/>
          <w:bCs/>
          <w:sz w:val="32"/>
          <w:szCs w:val="32"/>
        </w:rPr>
        <w:t>二</w:t>
      </w:r>
      <w:r>
        <w:rPr>
          <w:rFonts w:eastAsia="仿宋"/>
          <w:b/>
          <w:bCs/>
          <w:sz w:val="32"/>
          <w:szCs w:val="32"/>
        </w:rPr>
        <w:t>）</w:t>
      </w:r>
      <w:r>
        <w:rPr>
          <w:rFonts w:hint="eastAsia" w:eastAsia="仿宋"/>
          <w:b/>
          <w:bCs/>
          <w:sz w:val="32"/>
          <w:szCs w:val="32"/>
        </w:rPr>
        <w:t>支出情况</w:t>
      </w:r>
      <w:r>
        <w:rPr>
          <w:rFonts w:eastAsia="仿宋"/>
          <w:b/>
          <w:bCs/>
          <w:sz w:val="32"/>
          <w:szCs w:val="32"/>
        </w:rPr>
        <w:t>。</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金江中小学2024年年初预算支出1903.98万元。</w:t>
      </w:r>
    </w:p>
    <w:p>
      <w:pPr>
        <w:widowControl/>
        <w:adjustRightInd w:val="0"/>
        <w:snapToGrid w:val="0"/>
        <w:spacing w:line="578" w:lineRule="exact"/>
        <w:ind w:firstLine="642" w:firstLineChars="200"/>
        <w:contextualSpacing/>
        <w:jc w:val="left"/>
        <w:rPr>
          <w:rFonts w:eastAsia="仿宋"/>
          <w:b/>
          <w:bCs/>
          <w:sz w:val="32"/>
          <w:szCs w:val="32"/>
        </w:rPr>
      </w:pPr>
      <w:r>
        <w:rPr>
          <w:rFonts w:eastAsia="仿宋"/>
          <w:b/>
          <w:bCs/>
          <w:sz w:val="32"/>
          <w:szCs w:val="32"/>
        </w:rPr>
        <w:t>（</w:t>
      </w:r>
      <w:r>
        <w:rPr>
          <w:rFonts w:hint="eastAsia" w:eastAsia="仿宋"/>
          <w:b/>
          <w:bCs/>
          <w:sz w:val="32"/>
          <w:szCs w:val="32"/>
        </w:rPr>
        <w:t>三</w:t>
      </w:r>
      <w:r>
        <w:rPr>
          <w:rFonts w:eastAsia="仿宋"/>
          <w:b/>
          <w:bCs/>
          <w:sz w:val="32"/>
          <w:szCs w:val="32"/>
        </w:rPr>
        <w:t>）结余分配和结转结余情况</w:t>
      </w:r>
      <w:r>
        <w:rPr>
          <w:rFonts w:hint="eastAsia" w:eastAsia="仿宋"/>
          <w:b/>
          <w:bCs/>
          <w:sz w:val="32"/>
          <w:szCs w:val="32"/>
        </w:rPr>
        <w:t>。</w:t>
      </w:r>
    </w:p>
    <w:p>
      <w:pPr>
        <w:snapToGrid w:val="0"/>
        <w:spacing w:line="520" w:lineRule="exact"/>
        <w:ind w:firstLine="640" w:firstLineChars="200"/>
        <w:rPr>
          <w:rFonts w:eastAsia="仿宋"/>
          <w:sz w:val="32"/>
          <w:szCs w:val="32"/>
        </w:rPr>
      </w:pPr>
      <w:r>
        <w:rPr>
          <w:rFonts w:hint="eastAsia" w:eastAsia="仿宋"/>
          <w:sz w:val="32"/>
          <w:szCs w:val="32"/>
        </w:rPr>
        <w:t>金江中小学2024年均无财政资金的年末结转和结余情况。2024年非财政拨款收入年末结余是金江中小学课后服务费49.45万元.</w:t>
      </w:r>
    </w:p>
    <w:p>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pPr>
        <w:snapToGrid w:val="0"/>
        <w:spacing w:line="520" w:lineRule="exact"/>
        <w:ind w:firstLine="642" w:firstLineChars="200"/>
        <w:rPr>
          <w:rFonts w:eastAsia="仿宋"/>
          <w:b/>
          <w:bCs/>
          <w:sz w:val="32"/>
          <w:szCs w:val="32"/>
        </w:rPr>
      </w:pPr>
      <w:r>
        <w:rPr>
          <w:rFonts w:eastAsia="仿宋"/>
          <w:b/>
          <w:bCs/>
          <w:sz w:val="32"/>
          <w:szCs w:val="32"/>
        </w:rPr>
        <w:t>（一）</w:t>
      </w:r>
      <w:r>
        <w:rPr>
          <w:rFonts w:hint="eastAsia" w:eastAsia="仿宋"/>
          <w:b/>
          <w:bCs/>
          <w:sz w:val="32"/>
          <w:szCs w:val="32"/>
        </w:rPr>
        <w:t>部门预算</w:t>
      </w:r>
      <w:r>
        <w:rPr>
          <w:rFonts w:eastAsia="仿宋"/>
          <w:b/>
          <w:bCs/>
          <w:sz w:val="32"/>
          <w:szCs w:val="32"/>
        </w:rPr>
        <w:t>总体绩效分析。</w:t>
      </w:r>
    </w:p>
    <w:p>
      <w:pPr>
        <w:snapToGrid w:val="0"/>
        <w:spacing w:line="520" w:lineRule="exact"/>
        <w:ind w:firstLine="640" w:firstLineChars="200"/>
        <w:rPr>
          <w:rFonts w:eastAsia="仿宋"/>
          <w:sz w:val="32"/>
          <w:szCs w:val="32"/>
        </w:rPr>
      </w:pPr>
      <w:r>
        <w:rPr>
          <w:rFonts w:hint="eastAsia" w:eastAsia="仿宋"/>
          <w:sz w:val="32"/>
          <w:szCs w:val="32"/>
        </w:rPr>
        <w:t>首先保障金江中小学73名在职人员和47名离退休人员的正常薪酬、正常办公、生活秩序；坚决执行党和国家的教育方针政策，尤其关注留守儿童的成长和教育；管好用好国家的教育资金，改善和优化农村的办学条件；把教育教学质量放在首位，提高教师从教的幸福感，办人民满意的教育。</w:t>
      </w:r>
    </w:p>
    <w:p>
      <w:pPr>
        <w:snapToGrid w:val="0"/>
        <w:spacing w:line="520" w:lineRule="exact"/>
        <w:ind w:firstLine="640" w:firstLineChars="200"/>
        <w:rPr>
          <w:rFonts w:eastAsia="仿宋"/>
          <w:sz w:val="32"/>
          <w:szCs w:val="32"/>
        </w:rPr>
      </w:pPr>
      <w:r>
        <w:rPr>
          <w:rFonts w:hint="eastAsia" w:eastAsia="仿宋"/>
          <w:sz w:val="32"/>
          <w:szCs w:val="32"/>
        </w:rPr>
        <w:t>其次保障学校的安全和后勤工作的正常开展。通过项目的实施，激励教师工作积极性，促进教师的专业成长。持续开展小手拉大手活动，改善人居环境，体现政策导向，激发教师队伍活力。</w:t>
      </w:r>
    </w:p>
    <w:p>
      <w:pPr>
        <w:snapToGrid w:val="0"/>
        <w:spacing w:line="520" w:lineRule="exact"/>
        <w:ind w:firstLine="640" w:firstLineChars="200"/>
        <w:rPr>
          <w:rFonts w:eastAsia="仿宋"/>
          <w:sz w:val="32"/>
          <w:szCs w:val="32"/>
        </w:rPr>
      </w:pPr>
      <w:r>
        <w:rPr>
          <w:rFonts w:hint="eastAsia" w:eastAsia="仿宋"/>
          <w:sz w:val="32"/>
          <w:szCs w:val="32"/>
        </w:rPr>
        <w:t>最后保障了2024年度金江中小学396名学生营养餐费用和作业本费用的正常支付。保障学生的健康成长和学习需求，是实现城乡教育均衡发展的需要，是利国利民的大好事。通过该项目的实施，力争使钒钛园区相关部门领导和社会对金江中小学项目实施的满意度达到满意及以上。</w:t>
      </w:r>
    </w:p>
    <w:p>
      <w:pPr>
        <w:snapToGrid w:val="0"/>
        <w:spacing w:line="520" w:lineRule="exact"/>
        <w:ind w:firstLine="640" w:firstLineChars="200"/>
        <w:rPr>
          <w:rFonts w:eastAsia="仿宋"/>
          <w:sz w:val="32"/>
          <w:szCs w:val="32"/>
        </w:rPr>
      </w:pPr>
      <w:r>
        <w:rPr>
          <w:rFonts w:hint="eastAsia" w:eastAsia="仿宋"/>
          <w:sz w:val="32"/>
          <w:szCs w:val="32"/>
        </w:rPr>
        <w:t>1.履职效能。</w:t>
      </w:r>
    </w:p>
    <w:p>
      <w:pPr>
        <w:snapToGrid w:val="0"/>
        <w:spacing w:line="520" w:lineRule="exact"/>
        <w:ind w:firstLine="640" w:firstLineChars="200"/>
        <w:rPr>
          <w:rFonts w:eastAsia="仿宋"/>
          <w:sz w:val="32"/>
          <w:szCs w:val="32"/>
        </w:rPr>
      </w:pPr>
      <w:r>
        <w:rPr>
          <w:rFonts w:hint="eastAsia" w:eastAsia="仿宋"/>
          <w:sz w:val="32"/>
          <w:szCs w:val="32"/>
        </w:rPr>
        <w:t>（1）社会效益指标，通过项目的实施，激励教师工作积极性，促进教师的专业成长。</w:t>
      </w:r>
    </w:p>
    <w:p>
      <w:pPr>
        <w:snapToGrid w:val="0"/>
        <w:spacing w:line="520" w:lineRule="exact"/>
        <w:ind w:firstLine="640" w:firstLineChars="200"/>
        <w:rPr>
          <w:rFonts w:eastAsia="仿宋"/>
          <w:sz w:val="32"/>
          <w:szCs w:val="32"/>
        </w:rPr>
      </w:pPr>
      <w:r>
        <w:rPr>
          <w:rFonts w:hint="eastAsia" w:eastAsia="仿宋"/>
          <w:sz w:val="32"/>
          <w:szCs w:val="32"/>
        </w:rPr>
        <w:t>（2）环境效益指标，持续开展小手拉大手活动，改善人居环境。</w:t>
      </w:r>
    </w:p>
    <w:p>
      <w:pPr>
        <w:snapToGrid w:val="0"/>
        <w:spacing w:line="520" w:lineRule="exact"/>
        <w:ind w:firstLine="640" w:firstLineChars="200"/>
        <w:rPr>
          <w:rFonts w:eastAsia="仿宋"/>
          <w:sz w:val="32"/>
          <w:szCs w:val="32"/>
        </w:rPr>
      </w:pPr>
      <w:r>
        <w:rPr>
          <w:rFonts w:hint="eastAsia" w:eastAsia="仿宋"/>
          <w:sz w:val="32"/>
          <w:szCs w:val="32"/>
        </w:rPr>
        <w:t>（3）可持续影响指标，体现政策导向，激发教师队伍活力。</w:t>
      </w:r>
    </w:p>
    <w:p>
      <w:pPr>
        <w:snapToGrid w:val="0"/>
        <w:spacing w:line="520" w:lineRule="exact"/>
        <w:ind w:firstLine="640" w:firstLineChars="200"/>
        <w:rPr>
          <w:rFonts w:eastAsia="仿宋"/>
          <w:sz w:val="32"/>
          <w:szCs w:val="32"/>
        </w:rPr>
      </w:pPr>
      <w:r>
        <w:rPr>
          <w:rFonts w:hint="eastAsia" w:eastAsia="仿宋"/>
          <w:sz w:val="32"/>
          <w:szCs w:val="32"/>
        </w:rPr>
        <w:t>（4）服务对象满意度指标，通过项目的实施，力争使攀枝花市钒钛高新区相关部门领导和社会对金江中小学项目实施的满意度达到90%。</w:t>
      </w:r>
    </w:p>
    <w:p>
      <w:pPr>
        <w:snapToGrid w:val="0"/>
        <w:spacing w:line="520" w:lineRule="exact"/>
        <w:ind w:firstLine="640" w:firstLineChars="200"/>
        <w:rPr>
          <w:rFonts w:eastAsia="仿宋"/>
          <w:sz w:val="32"/>
          <w:szCs w:val="32"/>
        </w:rPr>
      </w:pPr>
      <w:r>
        <w:rPr>
          <w:rFonts w:hint="eastAsia" w:eastAsia="仿宋"/>
          <w:sz w:val="32"/>
          <w:szCs w:val="32"/>
        </w:rPr>
        <w:t>2.</w:t>
      </w:r>
      <w:r>
        <w:rPr>
          <w:rFonts w:eastAsia="仿宋"/>
          <w:sz w:val="32"/>
          <w:szCs w:val="32"/>
        </w:rPr>
        <w:t>预算管理</w:t>
      </w:r>
      <w:r>
        <w:rPr>
          <w:rFonts w:hint="eastAsia" w:eastAsia="仿宋"/>
          <w:sz w:val="32"/>
          <w:szCs w:val="32"/>
        </w:rPr>
        <w:t>。</w:t>
      </w:r>
    </w:p>
    <w:p>
      <w:pPr>
        <w:snapToGrid w:val="0"/>
        <w:spacing w:line="520" w:lineRule="exact"/>
        <w:ind w:firstLine="640" w:firstLineChars="200"/>
        <w:rPr>
          <w:rFonts w:eastAsia="仿宋"/>
          <w:sz w:val="32"/>
          <w:szCs w:val="32"/>
        </w:rPr>
      </w:pPr>
      <w:r>
        <w:rPr>
          <w:rFonts w:hint="eastAsia" w:eastAsia="仿宋"/>
          <w:sz w:val="32"/>
          <w:szCs w:val="32"/>
        </w:rPr>
        <w:t>（1）学校应按规定的程序和时间编制年度预算计划。全部收入纳入预算，并根据收入情况统筹安排各项支出。预算外资金必须按规定全部纳入“收支两条线”管理。</w:t>
      </w:r>
    </w:p>
    <w:p>
      <w:pPr>
        <w:snapToGrid w:val="0"/>
        <w:spacing w:line="520" w:lineRule="exact"/>
        <w:ind w:firstLine="640" w:firstLineChars="200"/>
        <w:rPr>
          <w:rFonts w:eastAsia="仿宋"/>
          <w:sz w:val="32"/>
          <w:szCs w:val="32"/>
        </w:rPr>
      </w:pPr>
      <w:r>
        <w:rPr>
          <w:rFonts w:hint="eastAsia" w:eastAsia="仿宋"/>
          <w:sz w:val="32"/>
          <w:szCs w:val="32"/>
        </w:rPr>
        <w:t>（2）学校须严格执行经批准的预算计划，坚持收支平衡的原则，不得超预算增加支出。因特殊情况需调整后逐级上报。</w:t>
      </w:r>
    </w:p>
    <w:p>
      <w:pPr>
        <w:snapToGrid w:val="0"/>
        <w:spacing w:line="520" w:lineRule="exact"/>
        <w:ind w:firstLine="640" w:firstLineChars="200"/>
        <w:rPr>
          <w:rFonts w:eastAsia="仿宋"/>
          <w:sz w:val="32"/>
          <w:szCs w:val="32"/>
        </w:rPr>
      </w:pPr>
      <w:r>
        <w:rPr>
          <w:rFonts w:hint="eastAsia" w:eastAsia="仿宋"/>
          <w:sz w:val="32"/>
          <w:szCs w:val="32"/>
        </w:rPr>
        <w:t>（3）学校的银行存款</w:t>
      </w:r>
      <w:r>
        <w:rPr>
          <w:rFonts w:hint="eastAsia" w:eastAsia="仿宋"/>
          <w:sz w:val="32"/>
          <w:szCs w:val="32"/>
          <w:lang w:eastAsia="zh-CN"/>
        </w:rPr>
        <w:t>账</w:t>
      </w:r>
      <w:r>
        <w:rPr>
          <w:rFonts w:hint="eastAsia" w:eastAsia="仿宋"/>
          <w:sz w:val="32"/>
          <w:szCs w:val="32"/>
        </w:rPr>
        <w:t>户的开设和变更均应报财政部门批准。</w:t>
      </w:r>
    </w:p>
    <w:p>
      <w:pPr>
        <w:snapToGrid w:val="0"/>
        <w:spacing w:line="520" w:lineRule="exact"/>
        <w:ind w:firstLine="640" w:firstLineChars="200"/>
        <w:rPr>
          <w:rFonts w:eastAsia="仿宋"/>
          <w:sz w:val="32"/>
          <w:szCs w:val="32"/>
        </w:rPr>
      </w:pPr>
      <w:r>
        <w:rPr>
          <w:rFonts w:hint="eastAsia" w:eastAsia="仿宋"/>
          <w:sz w:val="32"/>
          <w:szCs w:val="32"/>
        </w:rPr>
        <w:t>（4）学校在每个预算年度末，应编制本年度决算草案，并在规定期限内上报,并在校务公开栏内公开。学校按规定的程序和时间编制年度预算计划。全部收入纳入预算，并根据收入情况统筹安排各项支出。预算外资金必须按规定全部纳入“收支两条线”管理。学校严格执行经批准的预算计划，坚持收支平衡的原则，不得超预算增加支出。因特殊情况需调整后逐级上报。</w:t>
      </w:r>
    </w:p>
    <w:p>
      <w:pPr>
        <w:snapToGrid w:val="0"/>
        <w:spacing w:line="520" w:lineRule="exact"/>
        <w:ind w:firstLine="640" w:firstLineChars="200"/>
        <w:rPr>
          <w:rFonts w:eastAsia="仿宋"/>
          <w:sz w:val="32"/>
          <w:szCs w:val="32"/>
        </w:rPr>
      </w:pPr>
      <w:r>
        <w:rPr>
          <w:rFonts w:hint="eastAsia" w:eastAsia="仿宋"/>
          <w:sz w:val="32"/>
          <w:szCs w:val="32"/>
        </w:rPr>
        <w:t>3.</w:t>
      </w:r>
      <w:r>
        <w:rPr>
          <w:rFonts w:eastAsia="仿宋"/>
          <w:sz w:val="32"/>
          <w:szCs w:val="32"/>
        </w:rPr>
        <w:t>财务管理</w:t>
      </w:r>
      <w:r>
        <w:rPr>
          <w:rFonts w:hint="eastAsia" w:eastAsia="仿宋"/>
          <w:sz w:val="32"/>
          <w:szCs w:val="32"/>
        </w:rPr>
        <w:t>。</w:t>
      </w:r>
    </w:p>
    <w:p>
      <w:pPr>
        <w:snapToGrid w:val="0"/>
        <w:spacing w:line="520" w:lineRule="exact"/>
        <w:ind w:firstLine="640" w:firstLineChars="200"/>
        <w:rPr>
          <w:rFonts w:eastAsia="仿宋"/>
          <w:sz w:val="32"/>
          <w:szCs w:val="32"/>
        </w:rPr>
      </w:pPr>
      <w:r>
        <w:rPr>
          <w:rFonts w:hint="eastAsia" w:eastAsia="仿宋"/>
          <w:sz w:val="32"/>
          <w:szCs w:val="32"/>
        </w:rPr>
        <w:t>学校设有兼职出纳和专职会计各一名，出纳人员不兼任稽核、制单、会计档案保管等工作。出纳人员保管支票，法人章由学校领导保管。坚决抓好经费的收、管、用，确保有限的经费用于教育教学工作中，为教育教学工作服务。我校总务处能依照上级文件精神进行依法收费、规范收费，能认真做好经费的预、决算，财务</w:t>
      </w:r>
      <w:r>
        <w:rPr>
          <w:rFonts w:hint="eastAsia" w:eastAsia="仿宋"/>
          <w:sz w:val="32"/>
          <w:szCs w:val="32"/>
          <w:lang w:eastAsia="zh-CN"/>
        </w:rPr>
        <w:t>账</w:t>
      </w:r>
      <w:bookmarkStart w:id="134" w:name="_GoBack"/>
      <w:bookmarkEnd w:id="134"/>
      <w:r>
        <w:rPr>
          <w:rFonts w:hint="eastAsia" w:eastAsia="仿宋"/>
          <w:sz w:val="32"/>
          <w:szCs w:val="32"/>
        </w:rPr>
        <w:t>目做到日清月结，严格执行《财务管理制度》，杜绝贪污、挪用现象。</w:t>
      </w:r>
    </w:p>
    <w:p>
      <w:pPr>
        <w:snapToGrid w:val="0"/>
        <w:spacing w:line="520" w:lineRule="exact"/>
        <w:ind w:firstLine="640" w:firstLineChars="200"/>
        <w:rPr>
          <w:rFonts w:eastAsia="仿宋"/>
          <w:sz w:val="32"/>
          <w:szCs w:val="32"/>
        </w:rPr>
      </w:pPr>
      <w:r>
        <w:rPr>
          <w:rFonts w:hint="eastAsia" w:eastAsia="仿宋"/>
          <w:sz w:val="32"/>
          <w:szCs w:val="32"/>
        </w:rPr>
        <w:t>4.</w:t>
      </w:r>
      <w:r>
        <w:rPr>
          <w:rFonts w:eastAsia="仿宋"/>
          <w:sz w:val="32"/>
          <w:szCs w:val="32"/>
        </w:rPr>
        <w:t>资产管理</w:t>
      </w:r>
      <w:r>
        <w:rPr>
          <w:rFonts w:hint="eastAsia" w:eastAsia="仿宋"/>
          <w:sz w:val="32"/>
          <w:szCs w:val="32"/>
        </w:rPr>
        <w:t>。</w:t>
      </w:r>
    </w:p>
    <w:p>
      <w:pPr>
        <w:snapToGrid w:val="0"/>
        <w:spacing w:line="520" w:lineRule="exact"/>
        <w:ind w:firstLine="640" w:firstLineChars="200"/>
        <w:rPr>
          <w:rFonts w:eastAsia="仿宋"/>
          <w:sz w:val="32"/>
          <w:szCs w:val="32"/>
        </w:rPr>
      </w:pPr>
      <w:r>
        <w:rPr>
          <w:rFonts w:hint="eastAsia" w:eastAsia="仿宋"/>
          <w:sz w:val="32"/>
          <w:szCs w:val="32"/>
        </w:rPr>
        <w:t>（1）财产物资按上级有关部门的规定，设立固定资产、低值耐久及低值易耗品账目，每月由总务主任检查一次。建立专项管理制度。</w:t>
      </w:r>
    </w:p>
    <w:p>
      <w:pPr>
        <w:snapToGrid w:val="0"/>
        <w:spacing w:line="520" w:lineRule="exact"/>
        <w:ind w:firstLine="640" w:firstLineChars="200"/>
        <w:rPr>
          <w:rFonts w:eastAsia="仿宋"/>
          <w:sz w:val="32"/>
          <w:szCs w:val="32"/>
        </w:rPr>
      </w:pPr>
      <w:r>
        <w:rPr>
          <w:rFonts w:hint="eastAsia" w:eastAsia="仿宋"/>
          <w:sz w:val="32"/>
          <w:szCs w:val="32"/>
        </w:rPr>
        <w:t>（2）所有财产物资均按请购、验收、领用、保管、登记、使用、维修、处置等制度执行，执行情况每学期由财产保管员向总务主任汇报一次。做到账账相符，账物相符。</w:t>
      </w:r>
    </w:p>
    <w:p>
      <w:pPr>
        <w:snapToGrid w:val="0"/>
        <w:spacing w:line="520" w:lineRule="exact"/>
        <w:ind w:firstLine="640" w:firstLineChars="200"/>
        <w:rPr>
          <w:rFonts w:eastAsia="仿宋"/>
          <w:sz w:val="32"/>
          <w:szCs w:val="32"/>
        </w:rPr>
      </w:pPr>
      <w:r>
        <w:rPr>
          <w:rFonts w:hint="eastAsia" w:eastAsia="仿宋"/>
          <w:sz w:val="32"/>
          <w:szCs w:val="32"/>
        </w:rPr>
        <w:t>（3）学校每年定期对固定资产进行清点，按有关规定办好报损和报废手续。报损报废要逐级申报、审批。</w:t>
      </w:r>
    </w:p>
    <w:p>
      <w:pPr>
        <w:snapToGrid w:val="0"/>
        <w:spacing w:line="520" w:lineRule="exact"/>
        <w:ind w:firstLine="640" w:firstLineChars="200"/>
        <w:rPr>
          <w:rFonts w:eastAsia="仿宋"/>
          <w:sz w:val="32"/>
          <w:szCs w:val="32"/>
        </w:rPr>
      </w:pPr>
      <w:r>
        <w:rPr>
          <w:rFonts w:hint="eastAsia" w:eastAsia="仿宋"/>
          <w:sz w:val="32"/>
          <w:szCs w:val="32"/>
        </w:rPr>
        <w:t>（4）学校不定期对财产物资的管理情况进行抽查，并做好记录。</w:t>
      </w:r>
    </w:p>
    <w:p>
      <w:pPr>
        <w:snapToGrid w:val="0"/>
        <w:spacing w:line="520" w:lineRule="exact"/>
        <w:ind w:firstLine="640" w:firstLineChars="200"/>
        <w:rPr>
          <w:rFonts w:eastAsia="仿宋"/>
          <w:sz w:val="32"/>
          <w:szCs w:val="32"/>
        </w:rPr>
      </w:pPr>
      <w:r>
        <w:rPr>
          <w:rFonts w:hint="eastAsia" w:eastAsia="仿宋"/>
          <w:sz w:val="32"/>
          <w:szCs w:val="32"/>
        </w:rPr>
        <w:t>5.</w:t>
      </w:r>
      <w:r>
        <w:rPr>
          <w:rFonts w:eastAsia="仿宋"/>
          <w:sz w:val="32"/>
          <w:szCs w:val="32"/>
        </w:rPr>
        <w:t>采购管理</w:t>
      </w:r>
      <w:r>
        <w:rPr>
          <w:rFonts w:hint="eastAsia" w:eastAsia="仿宋"/>
          <w:sz w:val="32"/>
          <w:szCs w:val="32"/>
        </w:rPr>
        <w:t>。</w:t>
      </w:r>
    </w:p>
    <w:p>
      <w:pPr>
        <w:snapToGrid w:val="0"/>
        <w:spacing w:line="520" w:lineRule="exact"/>
        <w:ind w:firstLine="640" w:firstLineChars="200"/>
        <w:rPr>
          <w:rFonts w:eastAsia="仿宋"/>
          <w:sz w:val="32"/>
          <w:szCs w:val="32"/>
        </w:rPr>
      </w:pPr>
      <w:r>
        <w:rPr>
          <w:rFonts w:hint="eastAsia" w:eastAsia="仿宋"/>
          <w:sz w:val="32"/>
          <w:szCs w:val="32"/>
        </w:rPr>
        <w:t>（1）学校在每年初根据实际需要，经会议研究制定出当年的采购项目计划。</w:t>
      </w:r>
    </w:p>
    <w:p>
      <w:pPr>
        <w:snapToGrid w:val="0"/>
        <w:spacing w:line="520" w:lineRule="exact"/>
        <w:ind w:firstLine="640" w:firstLineChars="200"/>
        <w:rPr>
          <w:rFonts w:eastAsia="仿宋"/>
          <w:sz w:val="32"/>
          <w:szCs w:val="32"/>
        </w:rPr>
      </w:pPr>
      <w:r>
        <w:rPr>
          <w:rFonts w:hint="eastAsia" w:eastAsia="仿宋"/>
          <w:sz w:val="32"/>
          <w:szCs w:val="32"/>
        </w:rPr>
        <w:t>（2）学校进行物品采购时，写出采购报告，采购报告必须经学校办公室审核。表册的项目名称、规格、型号、技术参数、性能等必须填写完整。</w:t>
      </w:r>
    </w:p>
    <w:p>
      <w:pPr>
        <w:snapToGrid w:val="0"/>
        <w:spacing w:line="520" w:lineRule="exact"/>
        <w:ind w:firstLine="640" w:firstLineChars="200"/>
        <w:rPr>
          <w:rFonts w:eastAsia="仿宋"/>
          <w:sz w:val="32"/>
          <w:szCs w:val="32"/>
        </w:rPr>
      </w:pPr>
      <w:r>
        <w:rPr>
          <w:rFonts w:hint="eastAsia" w:eastAsia="仿宋"/>
          <w:sz w:val="32"/>
          <w:szCs w:val="32"/>
        </w:rPr>
        <w:t>（3）学校严格执行《中华人民共和国政府采购法》，不得以任何借口规避政府采购。</w:t>
      </w:r>
    </w:p>
    <w:p>
      <w:pPr>
        <w:adjustRightInd w:val="0"/>
        <w:snapToGrid w:val="0"/>
        <w:spacing w:line="578" w:lineRule="exact"/>
        <w:ind w:firstLine="642" w:firstLineChars="200"/>
        <w:contextualSpacing/>
        <w:rPr>
          <w:rFonts w:eastAsia="仿宋"/>
          <w:b/>
          <w:bCs/>
          <w:sz w:val="32"/>
          <w:szCs w:val="32"/>
        </w:rPr>
      </w:pPr>
      <w:r>
        <w:rPr>
          <w:rFonts w:eastAsia="仿宋"/>
          <w:b/>
          <w:bCs/>
          <w:sz w:val="32"/>
          <w:szCs w:val="32"/>
        </w:rPr>
        <w:t>（二）部门预算项目绩效分析。</w:t>
      </w:r>
    </w:p>
    <w:p>
      <w:pPr>
        <w:snapToGrid w:val="0"/>
        <w:spacing w:line="520" w:lineRule="exact"/>
        <w:ind w:firstLine="640" w:firstLineChars="200"/>
        <w:rPr>
          <w:rFonts w:eastAsia="仿宋"/>
          <w:sz w:val="32"/>
          <w:szCs w:val="32"/>
        </w:rPr>
      </w:pPr>
      <w:r>
        <w:rPr>
          <w:rFonts w:hint="eastAsia" w:eastAsia="仿宋"/>
          <w:sz w:val="32"/>
          <w:szCs w:val="32"/>
        </w:rPr>
        <w:t>预算项目绩效分析。该类项目总数3个，（临聘人员经费58.53万元，残疾儿童送教上门服务4.8万元，营养餐35.98万元和作业本费0.54万元，）涉及预算总金额99.85万元，1—12月预算执行总体进度为 100 %，其中：预算结余率大于10%的项目共计 0 个。</w:t>
      </w:r>
    </w:p>
    <w:p>
      <w:pPr>
        <w:snapToGrid w:val="0"/>
        <w:spacing w:line="520" w:lineRule="exact"/>
        <w:ind w:firstLine="640" w:firstLineChars="200"/>
        <w:rPr>
          <w:rFonts w:eastAsia="仿宋"/>
          <w:sz w:val="32"/>
          <w:szCs w:val="32"/>
        </w:rPr>
      </w:pPr>
      <w:r>
        <w:rPr>
          <w:rFonts w:hint="eastAsia" w:eastAsia="仿宋"/>
          <w:sz w:val="32"/>
          <w:szCs w:val="32"/>
        </w:rPr>
        <w:t>阶段（一次性）项目绩效分析。该类项目总数1个，涉及预算总金额47.9万元，音、体、美教室标准化建设47.9万元，1—12月预算执行总体进度为 100%，其中：预算结余率大于10%的项目共计 0 个。</w:t>
      </w:r>
    </w:p>
    <w:p>
      <w:pPr>
        <w:snapToGrid w:val="0"/>
        <w:spacing w:line="520" w:lineRule="exact"/>
        <w:ind w:firstLine="640" w:firstLineChars="200"/>
        <w:rPr>
          <w:rFonts w:eastAsia="仿宋"/>
          <w:sz w:val="32"/>
          <w:szCs w:val="32"/>
        </w:rPr>
      </w:pPr>
      <w:r>
        <w:rPr>
          <w:rFonts w:hint="eastAsia" w:eastAsia="仿宋"/>
          <w:sz w:val="32"/>
          <w:szCs w:val="32"/>
        </w:rPr>
        <w:t>1.项目决策。</w:t>
      </w:r>
    </w:p>
    <w:p>
      <w:pPr>
        <w:snapToGrid w:val="0"/>
        <w:spacing w:line="520" w:lineRule="exact"/>
        <w:ind w:firstLine="640" w:firstLineChars="200"/>
        <w:rPr>
          <w:rFonts w:eastAsia="仿宋"/>
          <w:sz w:val="32"/>
          <w:szCs w:val="32"/>
        </w:rPr>
      </w:pPr>
      <w:r>
        <w:rPr>
          <w:rFonts w:hint="eastAsia" w:eastAsia="仿宋"/>
          <w:sz w:val="32"/>
          <w:szCs w:val="32"/>
        </w:rPr>
        <w:t>在财务绩效分析体系构建中要充分考虑自身的财务特点和发展需求，不能单一或片面地评价或考核某一些工作内容，而是要全面地反映各方面的工作，使得指标本身能够起到特定的评价和指导作用。主要遵循两个原则：一是财务绩效分析体系本身要具有适用性，能够满足学校管理的需求，为其后续的管理发展提供有力的支撑，这是必要条件之一。因为一旦脱离适用性，财务绩效分析指标对学校本身的作用或价值就会降低。二是可操作性。如果财务绩效指标分析体系在具体实践中，因为指标无法量化或计算过于复杂没办法落实到位，那么对学校发展而言没有太大意义。因此，可操作性原则是基本原则，学校在财务绩效分析体系构建中必须严格遵守。</w:t>
      </w:r>
    </w:p>
    <w:p>
      <w:pPr>
        <w:snapToGrid w:val="0"/>
        <w:spacing w:line="520" w:lineRule="exact"/>
        <w:ind w:firstLine="640" w:firstLineChars="200"/>
        <w:rPr>
          <w:rFonts w:eastAsia="仿宋"/>
          <w:sz w:val="32"/>
          <w:szCs w:val="32"/>
        </w:rPr>
      </w:pPr>
      <w:r>
        <w:rPr>
          <w:rFonts w:hint="eastAsia" w:eastAsia="仿宋"/>
          <w:sz w:val="32"/>
          <w:szCs w:val="32"/>
        </w:rPr>
        <w:t>2.项目执行。</w:t>
      </w:r>
    </w:p>
    <w:p>
      <w:pPr>
        <w:snapToGrid w:val="0"/>
        <w:spacing w:line="520" w:lineRule="exact"/>
        <w:ind w:firstLine="640" w:firstLineChars="200"/>
        <w:rPr>
          <w:rFonts w:eastAsia="仿宋"/>
          <w:sz w:val="32"/>
          <w:szCs w:val="32"/>
        </w:rPr>
      </w:pPr>
      <w:r>
        <w:rPr>
          <w:rFonts w:hint="eastAsia" w:eastAsia="仿宋"/>
          <w:sz w:val="32"/>
          <w:szCs w:val="32"/>
        </w:rPr>
        <w:t>（1）人员类项目绩效分析</w:t>
      </w:r>
    </w:p>
    <w:p>
      <w:pPr>
        <w:snapToGrid w:val="0"/>
        <w:spacing w:line="520" w:lineRule="exact"/>
        <w:ind w:firstLine="640" w:firstLineChars="200"/>
        <w:rPr>
          <w:rFonts w:eastAsia="仿宋"/>
          <w:sz w:val="32"/>
          <w:szCs w:val="32"/>
        </w:rPr>
      </w:pPr>
      <w:r>
        <w:rPr>
          <w:rFonts w:hint="eastAsia" w:eastAsia="仿宋"/>
          <w:sz w:val="32"/>
          <w:szCs w:val="32"/>
        </w:rPr>
        <w:t>金江中小学2024年一般公共预算财政拨款均按要求实行绩效目标管理。基本支出1673.23万元，其中：人员经费1475.77万元主要包括：基本工资402.83万元、津贴补贴116.61万元、奖金0万元、伙食补助费0万元、绩效工资519.91万元、机关事业单位基本养老保险缴费148.26万元、职业年金缴费0万元、其他社会保障缴费7.96万元、其他工资福利支出30万元、离休费0万元、退休费0万元、抚恤金30.58万元、生活补助128.38（退休人员工资）万元、职工基本医疗保险75.92万元、医疗费补助1.05万元、奖励金0万元、住房公积金112.80万元、其他对个人和家庭的补助支出210.73万元。主要用于农村义务教育学校教职工的工资及基本福利，、基本养老、医疗保障等相关政策落到实处，确实维护教职工的合法权益。</w:t>
      </w:r>
    </w:p>
    <w:p>
      <w:pPr>
        <w:snapToGrid w:val="0"/>
        <w:spacing w:line="520" w:lineRule="exact"/>
        <w:ind w:firstLine="640" w:firstLineChars="200"/>
        <w:rPr>
          <w:rFonts w:eastAsia="仿宋"/>
          <w:sz w:val="32"/>
          <w:szCs w:val="32"/>
        </w:rPr>
      </w:pPr>
      <w:r>
        <w:rPr>
          <w:rFonts w:hint="eastAsia" w:eastAsia="仿宋"/>
          <w:sz w:val="32"/>
          <w:szCs w:val="32"/>
        </w:rPr>
        <w:tab/>
      </w:r>
      <w:r>
        <w:rPr>
          <w:rFonts w:hint="eastAsia" w:eastAsia="仿宋"/>
          <w:sz w:val="32"/>
          <w:szCs w:val="32"/>
        </w:rPr>
        <w:t>公用经费217.48万元主要包括：办公费25.04万元、印刷费0.81万元、咨询费1.60万元、手续费0万元、水费3.60万元、电费8.83万元、取暖费0万元、邮电费5.38万元、物业管理费0万元、差旅费5.24万元、因公出国（境）费用0万元、维修（护）费63.21万元、租赁费0万元、会议费0万元、培训费0万元、公务接待费0万元、劳务费56.39万元、委托业务费0万元、工会经费20.65万元、福利费2.16万元、公务用车运行维护费0万元、其他交通费0万元、税金及附加费用0万元、其他商品和服务支出24.57元、办公设备购置0万元、专用设备购置0万元、信息网络及软件购置更新0万元、其他资本性支出等0万元。主要是保障学校的基本运转。</w:t>
      </w:r>
    </w:p>
    <w:p>
      <w:pPr>
        <w:snapToGrid w:val="0"/>
        <w:spacing w:line="520" w:lineRule="exact"/>
        <w:ind w:firstLine="640" w:firstLineChars="200"/>
        <w:rPr>
          <w:rFonts w:eastAsia="仿宋"/>
          <w:sz w:val="32"/>
          <w:szCs w:val="32"/>
        </w:rPr>
      </w:pPr>
      <w:r>
        <w:rPr>
          <w:rFonts w:hint="eastAsia" w:eastAsia="仿宋"/>
          <w:sz w:val="32"/>
          <w:szCs w:val="32"/>
        </w:rPr>
        <w:t>（2）部门运转类项目</w:t>
      </w:r>
    </w:p>
    <w:p>
      <w:pPr>
        <w:snapToGrid w:val="0"/>
        <w:spacing w:line="520" w:lineRule="exact"/>
        <w:ind w:firstLine="640" w:firstLineChars="200"/>
        <w:rPr>
          <w:rFonts w:eastAsia="仿宋"/>
          <w:sz w:val="32"/>
          <w:szCs w:val="32"/>
        </w:rPr>
      </w:pPr>
      <w:r>
        <w:rPr>
          <w:rFonts w:hint="eastAsia" w:eastAsia="仿宋"/>
          <w:sz w:val="32"/>
          <w:szCs w:val="32"/>
        </w:rPr>
        <w:t>2024年金江中小学部门运转类项目，均按要求实行绩效目标管理。预算当年拨款56.39万元，实际支出56.39万元，用于发放2024年学校4名保安、6名后勤临聘人员，1名校医和1名食堂管理人员,6名食堂工作人员工资，切实保障农村义务教育学校师生生命、财产安全，维护教育教学正常运行。</w:t>
      </w:r>
    </w:p>
    <w:p>
      <w:pPr>
        <w:snapToGrid w:val="0"/>
        <w:spacing w:line="520" w:lineRule="exact"/>
        <w:ind w:firstLine="640" w:firstLineChars="200"/>
        <w:rPr>
          <w:rFonts w:eastAsia="仿宋"/>
          <w:sz w:val="32"/>
          <w:szCs w:val="32"/>
        </w:rPr>
      </w:pPr>
      <w:r>
        <w:rPr>
          <w:rFonts w:hint="eastAsia" w:eastAsia="仿宋"/>
          <w:sz w:val="32"/>
          <w:szCs w:val="32"/>
        </w:rPr>
        <w:t>（3）特定目标类项目</w:t>
      </w:r>
    </w:p>
    <w:p>
      <w:pPr>
        <w:snapToGrid w:val="0"/>
        <w:spacing w:line="520" w:lineRule="exact"/>
        <w:ind w:firstLine="640" w:firstLineChars="200"/>
        <w:rPr>
          <w:rFonts w:eastAsia="仿宋"/>
          <w:sz w:val="32"/>
          <w:szCs w:val="32"/>
        </w:rPr>
      </w:pPr>
      <w:r>
        <w:rPr>
          <w:rFonts w:hint="eastAsia" w:eastAsia="仿宋"/>
          <w:sz w:val="32"/>
          <w:szCs w:val="32"/>
        </w:rPr>
        <w:t>2024年金江中小学特定目标类项目资金，均按要求实行绩效目标管理，涉及预算当年拨款230.74万元，实际支出230.74万元。其中：临聘人员经费56.39万元，学生营养餐费支出26.87和作业本0.54万元、残疾儿童送教上门服务4.8万元、音、体、美教室标准化建设47.9万元。保障农村义务教育学校学生营养状况，提高学生健康水平，增强青少年身体素质，加快农村教育发展，促进教育公平，减轻家庭负担，促进教育公平。保为全面普及九年义务教育、实现县域内义务教育均衡发展提供了基础性保障。</w:t>
      </w:r>
    </w:p>
    <w:p>
      <w:pPr>
        <w:snapToGrid w:val="0"/>
        <w:spacing w:line="520" w:lineRule="exact"/>
        <w:ind w:firstLine="480" w:firstLineChars="150"/>
        <w:jc w:val="left"/>
        <w:rPr>
          <w:rFonts w:eastAsia="仿宋"/>
          <w:sz w:val="32"/>
          <w:szCs w:val="32"/>
        </w:rPr>
      </w:pPr>
      <w:r>
        <w:rPr>
          <w:rFonts w:hint="eastAsia" w:eastAsia="仿宋"/>
          <w:sz w:val="32"/>
          <w:szCs w:val="32"/>
        </w:rPr>
        <w:t>3.目标实现。</w:t>
      </w:r>
    </w:p>
    <w:p>
      <w:pPr>
        <w:snapToGrid w:val="0"/>
        <w:spacing w:line="520" w:lineRule="exact"/>
        <w:ind w:firstLine="320" w:firstLineChars="100"/>
        <w:jc w:val="left"/>
        <w:rPr>
          <w:rFonts w:eastAsia="仿宋"/>
          <w:sz w:val="32"/>
          <w:szCs w:val="32"/>
        </w:rPr>
      </w:pPr>
      <w:r>
        <w:rPr>
          <w:rFonts w:hint="eastAsia" w:eastAsia="仿宋"/>
          <w:sz w:val="32"/>
          <w:szCs w:val="32"/>
        </w:rPr>
        <w:t>首先保障了金江中小学73名在职人员和47名离退休人员的正常薪酬、正常办公、生活秩序；坚决执行党和国家的教育方针政策，尤其关注留守儿童的成长和教育；管好用好国家的教育资金，改善和优化农村的办学条件；把教育教学质量放在首位，提高教师从教的幸福感，办人民满意的教育；争创攀枝花市文明校园。</w:t>
      </w:r>
    </w:p>
    <w:p>
      <w:pPr>
        <w:snapToGrid w:val="0"/>
        <w:spacing w:line="520" w:lineRule="exact"/>
        <w:ind w:firstLine="640" w:firstLineChars="200"/>
        <w:jc w:val="left"/>
        <w:rPr>
          <w:rFonts w:eastAsia="仿宋"/>
          <w:sz w:val="32"/>
          <w:szCs w:val="32"/>
        </w:rPr>
      </w:pPr>
      <w:r>
        <w:rPr>
          <w:rFonts w:hint="eastAsia" w:eastAsia="仿宋"/>
          <w:sz w:val="32"/>
          <w:szCs w:val="32"/>
        </w:rPr>
        <w:t>其次保障学校的安全和后勤工作的正常开展。通过项目的实施，激励教师工作积极性，促进教师的专业成长。持续开展小手拉大手活动，改善人居环境，体现政策导向，激发教师队伍活力。</w:t>
      </w:r>
    </w:p>
    <w:p>
      <w:pPr>
        <w:snapToGrid w:val="0"/>
        <w:spacing w:line="520" w:lineRule="exact"/>
        <w:ind w:firstLine="640" w:firstLineChars="200"/>
        <w:jc w:val="left"/>
        <w:rPr>
          <w:rFonts w:eastAsia="仿宋"/>
          <w:sz w:val="32"/>
          <w:szCs w:val="32"/>
        </w:rPr>
      </w:pPr>
      <w:r>
        <w:rPr>
          <w:rFonts w:hint="eastAsia" w:eastAsia="仿宋"/>
          <w:sz w:val="32"/>
          <w:szCs w:val="32"/>
        </w:rPr>
        <w:t>最后保障了2024年度金江中小学396名学生营养餐费用和作业本费用的正常支付。保障学生的健康成长和学习需求，是实现城乡教育均衡发展的需要，是利国利民的大好事。通过该项目的实施，力争使钒钛园区相关部门领导和社会对金江中小学项目实施的满意度达到满意及以上。</w:t>
      </w:r>
    </w:p>
    <w:p>
      <w:pPr>
        <w:widowControl/>
        <w:adjustRightInd w:val="0"/>
        <w:snapToGrid w:val="0"/>
        <w:spacing w:line="578" w:lineRule="exact"/>
        <w:ind w:firstLine="642" w:firstLineChars="200"/>
        <w:contextualSpacing/>
        <w:jc w:val="left"/>
        <w:rPr>
          <w:rFonts w:eastAsia="仿宋"/>
          <w:b/>
          <w:bCs/>
          <w:sz w:val="32"/>
          <w:szCs w:val="32"/>
        </w:rPr>
      </w:pPr>
      <w:r>
        <w:rPr>
          <w:rFonts w:eastAsia="仿宋"/>
          <w:b/>
          <w:bCs/>
          <w:sz w:val="32"/>
          <w:szCs w:val="32"/>
        </w:rPr>
        <w:t>（</w:t>
      </w:r>
      <w:r>
        <w:rPr>
          <w:rFonts w:hint="eastAsia" w:eastAsia="仿宋"/>
          <w:b/>
          <w:bCs/>
          <w:sz w:val="32"/>
          <w:szCs w:val="32"/>
        </w:rPr>
        <w:t>三</w:t>
      </w:r>
      <w:r>
        <w:rPr>
          <w:rFonts w:eastAsia="仿宋"/>
          <w:b/>
          <w:bCs/>
          <w:sz w:val="32"/>
          <w:szCs w:val="32"/>
        </w:rPr>
        <w:t>）绩效结果应用情况</w:t>
      </w:r>
      <w:r>
        <w:rPr>
          <w:rFonts w:hint="eastAsia" w:eastAsia="仿宋"/>
          <w:b/>
          <w:bCs/>
          <w:sz w:val="32"/>
          <w:szCs w:val="32"/>
        </w:rPr>
        <w:t>。</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强化评价结果在部门预算编制和执行中的应用，实现绩效评价结果在部门预算编制和执行中的应用，实现绩效评价与部门预算的有机结合，促进金江中小学财政资金的合理分配与有效使用。</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金江中小学2024年度预算事前事后都做到了及时公开和及时公示。</w:t>
      </w:r>
    </w:p>
    <w:p>
      <w:pPr>
        <w:snapToGrid w:val="0"/>
        <w:spacing w:line="600" w:lineRule="exact"/>
        <w:ind w:firstLine="640" w:firstLineChars="200"/>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pPr>
        <w:widowControl/>
        <w:adjustRightInd w:val="0"/>
        <w:snapToGrid w:val="0"/>
        <w:spacing w:line="578" w:lineRule="exact"/>
        <w:ind w:firstLine="642" w:firstLineChars="200"/>
        <w:contextualSpacing/>
        <w:jc w:val="left"/>
        <w:rPr>
          <w:rFonts w:eastAsia="仿宋"/>
          <w:b/>
          <w:bCs/>
          <w:sz w:val="32"/>
          <w:szCs w:val="32"/>
        </w:rPr>
      </w:pPr>
      <w:r>
        <w:rPr>
          <w:rFonts w:eastAsia="仿宋"/>
          <w:b/>
          <w:bCs/>
          <w:sz w:val="32"/>
          <w:szCs w:val="32"/>
        </w:rPr>
        <w:t>（一）评价结论。</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结合我校实际情况，部门整体支出绩效为“良”。具体分析如下：</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1.社会效益指标，通过项目的实施，激励教师工作积极性，促进教师的专业成长。</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2.环境效益指标，持续开展小手拉大手活动，改善人居环境。</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3.可持续影响指标，体现政策导向，激发教师队伍活力。</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4．服务对象满意度指标，通过项目的实施，相关部领导和社会对金江中小学项目实施的满意度达到较好水平</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金江中小学对每一笔资金的使用均做到了事前、事中、事后的全程监督。事前监督主要是审批监督。对预算安排的严格通过人大批复的预算下达；对上级安排的教育专项资金，严格按照有关规定，报政府及有关部门批准后下达。事中监督主要是财政审核监督和财政检查监督。每一笔经费支出，都要是财政审核监督和财政检查监督。每一笔教育经费支出，都经过财政局层层审核把关，最后报账时还要经过会计核算把关。事后监督主要是审计监督。市区审计部门每年都对所有教育资金进行审计，有时还要接受上级审计部门的专项审计和有关部门的专项检查。</w:t>
      </w:r>
    </w:p>
    <w:p>
      <w:pPr>
        <w:pStyle w:val="33"/>
        <w:widowControl/>
        <w:numPr>
          <w:ilvl w:val="0"/>
          <w:numId w:val="1"/>
        </w:numPr>
        <w:adjustRightInd w:val="0"/>
        <w:snapToGrid w:val="0"/>
        <w:spacing w:line="578" w:lineRule="exact"/>
        <w:ind w:firstLineChars="0"/>
        <w:contextualSpacing/>
        <w:jc w:val="left"/>
        <w:rPr>
          <w:rFonts w:eastAsia="仿宋"/>
          <w:b/>
          <w:bCs/>
          <w:sz w:val="32"/>
          <w:szCs w:val="32"/>
        </w:rPr>
      </w:pPr>
      <w:r>
        <w:rPr>
          <w:rFonts w:eastAsia="仿宋"/>
          <w:b/>
          <w:bCs/>
          <w:sz w:val="32"/>
          <w:szCs w:val="32"/>
        </w:rPr>
        <w:t>存在问题。</w:t>
      </w:r>
    </w:p>
    <w:p>
      <w:pPr>
        <w:widowControl/>
        <w:spacing w:after="160" w:line="440" w:lineRule="exact"/>
        <w:ind w:left="630"/>
        <w:rPr>
          <w:rFonts w:eastAsia="仿宋"/>
          <w:sz w:val="32"/>
          <w:szCs w:val="32"/>
        </w:rPr>
      </w:pPr>
      <w:r>
        <w:rPr>
          <w:rFonts w:hint="eastAsia" w:eastAsia="仿宋"/>
          <w:sz w:val="32"/>
          <w:szCs w:val="32"/>
        </w:rPr>
        <w:t>1.对于目标设定需要分科室部门分解，汇总后制定整</w:t>
      </w:r>
    </w:p>
    <w:p>
      <w:pPr>
        <w:widowControl/>
        <w:spacing w:line="440" w:lineRule="exact"/>
        <w:rPr>
          <w:rFonts w:eastAsia="仿宋"/>
          <w:sz w:val="32"/>
          <w:szCs w:val="32"/>
        </w:rPr>
      </w:pPr>
      <w:r>
        <w:rPr>
          <w:rFonts w:hint="eastAsia" w:eastAsia="仿宋"/>
          <w:sz w:val="32"/>
          <w:szCs w:val="32"/>
        </w:rPr>
        <w:t>体目标。目标设定后如何科学设定考核评价标准，特别是对于不能量化的目标如何评价。</w:t>
      </w:r>
    </w:p>
    <w:p>
      <w:pPr>
        <w:widowControl/>
        <w:spacing w:line="440" w:lineRule="exact"/>
        <w:ind w:firstLine="640" w:firstLineChars="200"/>
        <w:rPr>
          <w:rFonts w:eastAsia="仿宋"/>
          <w:sz w:val="32"/>
          <w:szCs w:val="32"/>
        </w:rPr>
      </w:pPr>
      <w:r>
        <w:rPr>
          <w:rFonts w:hint="eastAsia" w:eastAsia="仿宋"/>
          <w:sz w:val="32"/>
          <w:szCs w:val="32"/>
        </w:rPr>
        <w:t>2.部门整体支出相比专项支出而言，社会效益较好，经济效益不明显。业务工作分项需更加清晰，不能很好的对比支出与成果，投入与产出效果，进而很难有针对性的发现问题，分析问题，提出解决方案。</w:t>
      </w:r>
    </w:p>
    <w:p>
      <w:pPr>
        <w:widowControl/>
        <w:spacing w:line="440" w:lineRule="exact"/>
        <w:ind w:firstLine="640" w:firstLineChars="200"/>
        <w:rPr>
          <w:rFonts w:eastAsia="仿宋"/>
          <w:sz w:val="32"/>
          <w:szCs w:val="32"/>
        </w:rPr>
      </w:pPr>
      <w:r>
        <w:rPr>
          <w:rFonts w:hint="eastAsia" w:eastAsia="仿宋"/>
          <w:sz w:val="32"/>
          <w:szCs w:val="32"/>
        </w:rPr>
        <w:t>3.财务管理方面，会计核算还不够细致，对于有些能够细分的工作，未能详细分类核算，绩效评价基础数据不够精准。</w:t>
      </w:r>
    </w:p>
    <w:p>
      <w:pPr>
        <w:widowControl/>
        <w:adjustRightInd w:val="0"/>
        <w:snapToGrid w:val="0"/>
        <w:spacing w:line="560" w:lineRule="exact"/>
        <w:ind w:firstLine="640" w:firstLineChars="200"/>
        <w:contextualSpacing/>
        <w:jc w:val="left"/>
        <w:rPr>
          <w:rFonts w:eastAsia="仿宋"/>
          <w:sz w:val="32"/>
          <w:szCs w:val="32"/>
        </w:rPr>
      </w:pPr>
      <w:r>
        <w:rPr>
          <w:rFonts w:hint="eastAsia" w:eastAsia="仿宋"/>
          <w:sz w:val="32"/>
          <w:szCs w:val="32"/>
        </w:rPr>
        <w:t>4.学校的教学、培训、设备购置、正常维修、等支出主要依靠生均公用经费，造成学校生均公用经费支出存在超出范围和超出比例支出问题。</w:t>
      </w:r>
    </w:p>
    <w:p>
      <w:pPr>
        <w:widowControl/>
        <w:adjustRightInd w:val="0"/>
        <w:snapToGrid w:val="0"/>
        <w:spacing w:line="578" w:lineRule="exact"/>
        <w:ind w:firstLine="642" w:firstLineChars="200"/>
        <w:contextualSpacing/>
        <w:jc w:val="left"/>
        <w:rPr>
          <w:rFonts w:eastAsia="仿宋"/>
          <w:b/>
          <w:bCs/>
          <w:sz w:val="32"/>
          <w:szCs w:val="32"/>
        </w:rPr>
      </w:pPr>
      <w:r>
        <w:rPr>
          <w:rFonts w:eastAsia="仿宋"/>
          <w:b/>
          <w:bCs/>
          <w:sz w:val="32"/>
          <w:szCs w:val="32"/>
        </w:rPr>
        <w:t>（三）改进建议。</w:t>
      </w:r>
    </w:p>
    <w:p>
      <w:pPr>
        <w:widowControl/>
        <w:spacing w:line="440" w:lineRule="exact"/>
        <w:ind w:firstLine="640" w:firstLineChars="200"/>
        <w:rPr>
          <w:rFonts w:eastAsia="仿宋"/>
          <w:sz w:val="32"/>
          <w:szCs w:val="32"/>
        </w:rPr>
      </w:pPr>
      <w:r>
        <w:rPr>
          <w:rFonts w:hint="eastAsia" w:eastAsia="仿宋"/>
          <w:sz w:val="32"/>
          <w:szCs w:val="32"/>
        </w:rPr>
        <w:t>1.学习如何科学合理制定绩效目标及考核体系，充分发挥绩效工作效用。</w:t>
      </w:r>
    </w:p>
    <w:p>
      <w:pPr>
        <w:widowControl/>
        <w:spacing w:line="440" w:lineRule="exact"/>
        <w:ind w:firstLine="640" w:firstLineChars="200"/>
        <w:rPr>
          <w:rFonts w:eastAsia="仿宋"/>
          <w:sz w:val="32"/>
          <w:szCs w:val="32"/>
        </w:rPr>
      </w:pPr>
      <w:r>
        <w:rPr>
          <w:rFonts w:hint="eastAsia" w:eastAsia="仿宋"/>
          <w:sz w:val="32"/>
          <w:szCs w:val="32"/>
        </w:rPr>
        <w:t>2.对于能细分、归总的业务工作，效仿专项支出进行管理，以便更好的进行绩效评价，发现不足，提出改进。</w:t>
      </w:r>
    </w:p>
    <w:p>
      <w:pPr>
        <w:widowControl/>
        <w:spacing w:line="440" w:lineRule="exact"/>
        <w:ind w:firstLine="640" w:firstLineChars="200"/>
        <w:rPr>
          <w:rFonts w:eastAsia="仿宋"/>
          <w:sz w:val="32"/>
          <w:szCs w:val="32"/>
        </w:rPr>
      </w:pPr>
      <w:r>
        <w:rPr>
          <w:rFonts w:hint="eastAsia" w:eastAsia="仿宋"/>
          <w:sz w:val="32"/>
          <w:szCs w:val="32"/>
        </w:rPr>
        <w:t>3.财务上，会计核算要更加详细，为本单位各项工作的开展、总结、评估提供有效数据资料支撑，为各项业务工作更好的开展提供帮助。</w:t>
      </w:r>
    </w:p>
    <w:p>
      <w:pPr>
        <w:pStyle w:val="2"/>
        <w:rPr>
          <w:rFonts w:eastAsia="仿宋"/>
          <w:sz w:val="32"/>
          <w:szCs w:val="32"/>
        </w:rPr>
      </w:pPr>
    </w:p>
    <w:p>
      <w:pPr>
        <w:pStyle w:val="3"/>
        <w:spacing w:line="560" w:lineRule="exact"/>
        <w:ind w:left="0" w:leftChars="0" w:firstLine="640"/>
        <w:rPr>
          <w:rFonts w:ascii="Times New Roman" w:eastAsia="仿宋"/>
          <w:sz w:val="32"/>
        </w:rPr>
      </w:pPr>
      <w:r>
        <w:rPr>
          <w:rFonts w:hint="eastAsia" w:ascii="Times New Roman" w:eastAsia="仿宋"/>
          <w:sz w:val="32"/>
        </w:rPr>
        <w:t>附表：部门预算项目支出绩效自评表（2024年度）</w:t>
      </w:r>
    </w:p>
    <w:p>
      <w:pPr>
        <w:pStyle w:val="3"/>
        <w:spacing w:line="560" w:lineRule="exact"/>
        <w:ind w:left="0" w:leftChars="0" w:firstLine="640"/>
        <w:rPr>
          <w:rFonts w:ascii="Times New Roman" w:eastAsia="仿宋"/>
          <w:sz w:val="32"/>
        </w:rPr>
      </w:pPr>
      <w:r>
        <w:rPr>
          <w:rFonts w:hint="eastAsia" w:ascii="Times New Roman" w:eastAsia="仿宋"/>
          <w:sz w:val="32"/>
        </w:rPr>
        <w:t>（注：按照绩效自评工作安排，各部门已在预算管理一体化系统绩效自评模块上传“部门预算项目支出绩效自评表（2024年度）”，该表格应作为附表予以公开）</w:t>
      </w:r>
    </w:p>
    <w:tbl>
      <w:tblPr>
        <w:tblStyle w:val="21"/>
        <w:tblW w:w="5386" w:type="pct"/>
        <w:tblInd w:w="0" w:type="dxa"/>
        <w:tblLayout w:type="autofit"/>
        <w:tblCellMar>
          <w:top w:w="0" w:type="dxa"/>
          <w:left w:w="108" w:type="dxa"/>
          <w:bottom w:w="0" w:type="dxa"/>
          <w:right w:w="108" w:type="dxa"/>
        </w:tblCellMar>
      </w:tblPr>
      <w:tblGrid>
        <w:gridCol w:w="696"/>
        <w:gridCol w:w="891"/>
        <w:gridCol w:w="815"/>
        <w:gridCol w:w="1114"/>
        <w:gridCol w:w="459"/>
        <w:gridCol w:w="816"/>
        <w:gridCol w:w="674"/>
        <w:gridCol w:w="817"/>
        <w:gridCol w:w="577"/>
        <w:gridCol w:w="577"/>
        <w:gridCol w:w="1744"/>
      </w:tblGrid>
      <w:tr>
        <w:tblPrEx>
          <w:tblCellMar>
            <w:top w:w="0" w:type="dxa"/>
            <w:left w:w="108" w:type="dxa"/>
            <w:bottom w:w="0" w:type="dxa"/>
            <w:right w:w="108" w:type="dxa"/>
          </w:tblCellMar>
        </w:tblPrEx>
        <w:trPr>
          <w:trHeight w:val="285" w:hRule="atLeast"/>
        </w:trPr>
        <w:tc>
          <w:tcPr>
            <w:tcW w:w="379" w:type="pct"/>
            <w:tcBorders>
              <w:top w:val="nil"/>
              <w:left w:val="nil"/>
              <w:bottom w:val="nil"/>
              <w:right w:val="nil"/>
            </w:tcBorders>
            <w:vAlign w:val="center"/>
          </w:tcPr>
          <w:p>
            <w:pPr>
              <w:rPr>
                <w:rFonts w:ascii="仿宋" w:hAnsi="仿宋" w:eastAsia="仿宋" w:cs="仿宋"/>
                <w:sz w:val="24"/>
              </w:rPr>
            </w:pPr>
          </w:p>
        </w:tc>
        <w:tc>
          <w:tcPr>
            <w:tcW w:w="486" w:type="pct"/>
            <w:tcBorders>
              <w:top w:val="nil"/>
              <w:left w:val="nil"/>
              <w:bottom w:val="nil"/>
              <w:right w:val="nil"/>
            </w:tcBorders>
            <w:vAlign w:val="center"/>
          </w:tcPr>
          <w:p>
            <w:pPr>
              <w:rPr>
                <w:rFonts w:ascii="仿宋" w:hAnsi="仿宋" w:eastAsia="仿宋" w:cs="仿宋"/>
                <w:sz w:val="24"/>
              </w:rPr>
            </w:pPr>
          </w:p>
        </w:tc>
        <w:tc>
          <w:tcPr>
            <w:tcW w:w="444" w:type="pct"/>
            <w:tcBorders>
              <w:top w:val="nil"/>
              <w:left w:val="nil"/>
              <w:bottom w:val="nil"/>
              <w:right w:val="nil"/>
            </w:tcBorders>
            <w:vAlign w:val="center"/>
          </w:tcPr>
          <w:p>
            <w:pPr>
              <w:rPr>
                <w:rFonts w:ascii="仿宋" w:hAnsi="仿宋" w:eastAsia="仿宋" w:cs="仿宋"/>
                <w:sz w:val="24"/>
              </w:rPr>
            </w:pPr>
          </w:p>
        </w:tc>
        <w:tc>
          <w:tcPr>
            <w:tcW w:w="607" w:type="pct"/>
            <w:tcBorders>
              <w:top w:val="nil"/>
              <w:left w:val="nil"/>
              <w:bottom w:val="nil"/>
              <w:right w:val="nil"/>
            </w:tcBorders>
            <w:vAlign w:val="center"/>
          </w:tcPr>
          <w:p>
            <w:pPr>
              <w:rPr>
                <w:rFonts w:ascii="仿宋" w:hAnsi="仿宋" w:eastAsia="仿宋" w:cs="仿宋"/>
                <w:sz w:val="24"/>
              </w:rPr>
            </w:pPr>
          </w:p>
        </w:tc>
        <w:tc>
          <w:tcPr>
            <w:tcW w:w="249" w:type="pct"/>
            <w:tcBorders>
              <w:top w:val="nil"/>
              <w:left w:val="nil"/>
              <w:bottom w:val="nil"/>
              <w:right w:val="nil"/>
            </w:tcBorders>
            <w:vAlign w:val="center"/>
          </w:tcPr>
          <w:p>
            <w:pPr>
              <w:rPr>
                <w:rFonts w:ascii="仿宋" w:hAnsi="仿宋" w:eastAsia="仿宋" w:cs="仿宋"/>
                <w:sz w:val="24"/>
              </w:rPr>
            </w:pPr>
          </w:p>
        </w:tc>
        <w:tc>
          <w:tcPr>
            <w:tcW w:w="444" w:type="pct"/>
            <w:tcBorders>
              <w:top w:val="nil"/>
              <w:left w:val="nil"/>
              <w:bottom w:val="nil"/>
              <w:right w:val="nil"/>
            </w:tcBorders>
            <w:vAlign w:val="center"/>
          </w:tcPr>
          <w:p>
            <w:pPr>
              <w:rPr>
                <w:rFonts w:ascii="仿宋" w:hAnsi="仿宋" w:eastAsia="仿宋" w:cs="仿宋"/>
                <w:sz w:val="24"/>
              </w:rPr>
            </w:pPr>
          </w:p>
        </w:tc>
        <w:tc>
          <w:tcPr>
            <w:tcW w:w="367" w:type="pct"/>
            <w:tcBorders>
              <w:top w:val="nil"/>
              <w:left w:val="nil"/>
              <w:bottom w:val="nil"/>
              <w:right w:val="nil"/>
            </w:tcBorders>
            <w:vAlign w:val="center"/>
          </w:tcPr>
          <w:p>
            <w:pPr>
              <w:rPr>
                <w:rFonts w:ascii="仿宋" w:hAnsi="仿宋" w:eastAsia="仿宋" w:cs="仿宋"/>
                <w:sz w:val="24"/>
              </w:rPr>
            </w:pPr>
          </w:p>
        </w:tc>
        <w:tc>
          <w:tcPr>
            <w:tcW w:w="444" w:type="pct"/>
            <w:tcBorders>
              <w:top w:val="nil"/>
              <w:left w:val="nil"/>
              <w:bottom w:val="nil"/>
              <w:right w:val="nil"/>
            </w:tcBorders>
            <w:vAlign w:val="center"/>
          </w:tcPr>
          <w:p>
            <w:pPr>
              <w:rPr>
                <w:rFonts w:ascii="仿宋" w:hAnsi="仿宋" w:eastAsia="仿宋" w:cs="仿宋"/>
                <w:sz w:val="24"/>
              </w:rPr>
            </w:pPr>
          </w:p>
        </w:tc>
        <w:tc>
          <w:tcPr>
            <w:tcW w:w="314" w:type="pct"/>
            <w:tcBorders>
              <w:top w:val="nil"/>
              <w:left w:val="nil"/>
              <w:bottom w:val="nil"/>
              <w:right w:val="nil"/>
            </w:tcBorders>
            <w:vAlign w:val="center"/>
          </w:tcPr>
          <w:p>
            <w:pPr>
              <w:rPr>
                <w:rFonts w:ascii="仿宋" w:hAnsi="仿宋" w:eastAsia="仿宋" w:cs="仿宋"/>
                <w:sz w:val="24"/>
              </w:rPr>
            </w:pPr>
          </w:p>
        </w:tc>
        <w:tc>
          <w:tcPr>
            <w:tcW w:w="314" w:type="pct"/>
            <w:tcBorders>
              <w:top w:val="nil"/>
              <w:left w:val="nil"/>
              <w:bottom w:val="nil"/>
              <w:right w:val="nil"/>
            </w:tcBorders>
            <w:vAlign w:val="center"/>
          </w:tcPr>
          <w:p>
            <w:pPr>
              <w:rPr>
                <w:rFonts w:ascii="仿宋" w:hAnsi="仿宋" w:eastAsia="仿宋" w:cs="仿宋"/>
                <w:sz w:val="24"/>
              </w:rPr>
            </w:pPr>
          </w:p>
        </w:tc>
        <w:tc>
          <w:tcPr>
            <w:tcW w:w="951" w:type="pct"/>
            <w:tcBorders>
              <w:top w:val="nil"/>
              <w:left w:val="nil"/>
              <w:bottom w:val="nil"/>
              <w:right w:val="nil"/>
            </w:tcBorders>
            <w:vAlign w:val="center"/>
          </w:tcPr>
          <w:p>
            <w:pPr>
              <w:rPr>
                <w:rFonts w:ascii="仿宋" w:hAnsi="仿宋" w:eastAsia="仿宋" w:cs="仿宋"/>
                <w:sz w:val="24"/>
              </w:rPr>
            </w:pPr>
          </w:p>
        </w:tc>
      </w:tr>
      <w:tr>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32"/>
                <w:szCs w:val="32"/>
              </w:rPr>
              <w:t>部门预算项目支出绩效自评表（2024年度）</w:t>
            </w:r>
          </w:p>
        </w:tc>
      </w:tr>
      <w:tr>
        <w:tblPrEx>
          <w:tblCellMar>
            <w:top w:w="0" w:type="dxa"/>
            <w:left w:w="108" w:type="dxa"/>
            <w:bottom w:w="0" w:type="dxa"/>
            <w:right w:w="108" w:type="dxa"/>
          </w:tblCellMar>
        </w:tblPrEx>
        <w:trPr>
          <w:trHeight w:val="285" w:hRule="atLeast"/>
        </w:trPr>
        <w:tc>
          <w:tcPr>
            <w:tcW w:w="865"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rPr>
              <w:t>项目名称</w:t>
            </w:r>
          </w:p>
        </w:tc>
        <w:tc>
          <w:tcPr>
            <w:tcW w:w="4135" w:type="pct"/>
            <w:gridSpan w:val="9"/>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b/>
                <w:bCs/>
                <w:sz w:val="24"/>
              </w:rPr>
            </w:pPr>
            <w:r>
              <w:rPr>
                <w:rFonts w:hint="eastAsia" w:ascii="仿宋" w:hAnsi="仿宋" w:eastAsia="仿宋" w:cs="仿宋"/>
                <w:b/>
                <w:bCs/>
                <w:kern w:val="0"/>
                <w:sz w:val="24"/>
              </w:rPr>
              <w:t>51048923T000008809425-2024年营养餐</w:t>
            </w:r>
          </w:p>
        </w:tc>
      </w:tr>
      <w:tr>
        <w:tblPrEx>
          <w:tblCellMar>
            <w:top w:w="0" w:type="dxa"/>
            <w:left w:w="108" w:type="dxa"/>
            <w:bottom w:w="0" w:type="dxa"/>
            <w:right w:w="108" w:type="dxa"/>
          </w:tblCellMar>
        </w:tblPrEx>
        <w:trPr>
          <w:trHeight w:val="514" w:hRule="atLeast"/>
        </w:trPr>
        <w:tc>
          <w:tcPr>
            <w:tcW w:w="865"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24"/>
              </w:rPr>
            </w:pPr>
            <w:r>
              <w:rPr>
                <w:rFonts w:hint="eastAsia" w:ascii="仿宋" w:hAnsi="仿宋" w:eastAsia="仿宋" w:cs="仿宋"/>
                <w:kern w:val="0"/>
                <w:sz w:val="24"/>
              </w:rPr>
              <w:t>主管部门</w:t>
            </w:r>
          </w:p>
        </w:tc>
        <w:tc>
          <w:tcPr>
            <w:tcW w:w="2112" w:type="pct"/>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24"/>
              </w:rPr>
            </w:pPr>
            <w:r>
              <w:rPr>
                <w:rFonts w:hint="eastAsia" w:ascii="仿宋" w:hAnsi="仿宋" w:eastAsia="仿宋" w:cs="仿宋"/>
                <w:kern w:val="0"/>
                <w:sz w:val="24"/>
              </w:rPr>
              <w:t>攀枝花市仁和区金江中小学部门</w:t>
            </w:r>
          </w:p>
        </w:tc>
        <w:tc>
          <w:tcPr>
            <w:tcW w:w="444" w:type="pct"/>
            <w:tcBorders>
              <w:top w:val="nil"/>
              <w:left w:val="nil"/>
              <w:bottom w:val="nil"/>
              <w:right w:val="nil"/>
            </w:tcBorders>
            <w:vAlign w:val="center"/>
          </w:tcPr>
          <w:p>
            <w:pPr>
              <w:widowControl/>
              <w:jc w:val="left"/>
              <w:textAlignment w:val="center"/>
              <w:rPr>
                <w:rFonts w:ascii="仿宋" w:hAnsi="仿宋" w:eastAsia="仿宋" w:cs="仿宋"/>
                <w:sz w:val="24"/>
              </w:rPr>
            </w:pPr>
            <w:r>
              <w:rPr>
                <w:rFonts w:hint="eastAsia" w:ascii="仿宋" w:hAnsi="仿宋" w:eastAsia="仿宋" w:cs="仿宋"/>
                <w:kern w:val="0"/>
                <w:sz w:val="24"/>
              </w:rPr>
              <w:t>实施单位 （盖章）</w:t>
            </w:r>
          </w:p>
        </w:tc>
        <w:tc>
          <w:tcPr>
            <w:tcW w:w="1578"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攀枝花市仁和区金江中小学</w:t>
            </w:r>
          </w:p>
        </w:tc>
      </w:tr>
      <w:tr>
        <w:tblPrEx>
          <w:tblCellMar>
            <w:top w:w="0" w:type="dxa"/>
            <w:left w:w="108" w:type="dxa"/>
            <w:bottom w:w="0" w:type="dxa"/>
            <w:right w:w="108" w:type="dxa"/>
          </w:tblCellMar>
        </w:tblPrEx>
        <w:trPr>
          <w:trHeight w:val="285" w:hRule="atLeast"/>
        </w:trPr>
        <w:tc>
          <w:tcPr>
            <w:tcW w:w="37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24"/>
              </w:rPr>
            </w:pPr>
            <w:r>
              <w:rPr>
                <w:rFonts w:hint="eastAsia" w:ascii="仿宋" w:hAnsi="仿宋" w:eastAsia="仿宋" w:cs="仿宋"/>
                <w:kern w:val="0"/>
                <w:sz w:val="24"/>
              </w:rPr>
              <w:t>项目基本情况</w:t>
            </w:r>
          </w:p>
        </w:tc>
        <w:tc>
          <w:tcPr>
            <w:tcW w:w="48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24"/>
              </w:rPr>
            </w:pPr>
            <w:r>
              <w:rPr>
                <w:rFonts w:hint="eastAsia" w:ascii="仿宋" w:hAnsi="仿宋" w:eastAsia="仿宋" w:cs="仿宋"/>
                <w:kern w:val="0"/>
                <w:sz w:val="24"/>
              </w:rPr>
              <w:t>1.项目年度目标完成情况</w:t>
            </w:r>
          </w:p>
        </w:tc>
        <w:tc>
          <w:tcPr>
            <w:tcW w:w="2112" w:type="pct"/>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项目年度目标</w:t>
            </w:r>
          </w:p>
        </w:tc>
        <w:tc>
          <w:tcPr>
            <w:tcW w:w="2023" w:type="pct"/>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年度目标完成情况</w:t>
            </w:r>
          </w:p>
        </w:tc>
      </w:tr>
      <w:tr>
        <w:tblPrEx>
          <w:tblCellMar>
            <w:top w:w="0" w:type="dxa"/>
            <w:left w:w="108" w:type="dxa"/>
            <w:bottom w:w="0" w:type="dxa"/>
            <w:right w:w="108" w:type="dxa"/>
          </w:tblCellMar>
        </w:tblPrEx>
        <w:trPr>
          <w:trHeight w:val="709" w:hRule="atLeast"/>
        </w:trPr>
        <w:tc>
          <w:tcPr>
            <w:tcW w:w="379" w:type="pct"/>
            <w:vMerge w:val="continue"/>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4"/>
              </w:rPr>
            </w:pP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4"/>
              </w:rPr>
            </w:pPr>
          </w:p>
        </w:tc>
        <w:tc>
          <w:tcPr>
            <w:tcW w:w="2112" w:type="pct"/>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24"/>
              </w:rPr>
            </w:pPr>
            <w:r>
              <w:rPr>
                <w:rFonts w:hint="eastAsia" w:ascii="仿宋" w:hAnsi="仿宋" w:eastAsia="仿宋" w:cs="仿宋"/>
                <w:kern w:val="0"/>
                <w:sz w:val="24"/>
              </w:rPr>
              <w:t>1.进一步改善农村学生营养状况，提高学生健康水平，增强青少年身体素质，加快农村教育发展，促进教育公平。</w:t>
            </w:r>
            <w:r>
              <w:rPr>
                <w:rFonts w:hint="eastAsia" w:ascii="仿宋" w:hAnsi="仿宋" w:eastAsia="仿宋" w:cs="仿宋"/>
                <w:kern w:val="0"/>
                <w:sz w:val="24"/>
              </w:rPr>
              <w:br w:type="textWrapping"/>
            </w:r>
            <w:r>
              <w:rPr>
                <w:rFonts w:hint="eastAsia" w:ascii="仿宋" w:hAnsi="仿宋" w:eastAsia="仿宋" w:cs="仿宋"/>
                <w:kern w:val="0"/>
                <w:sz w:val="24"/>
              </w:rPr>
              <w:t>2.减轻家庭负担，促进教育公平。</w:t>
            </w:r>
            <w:r>
              <w:rPr>
                <w:rFonts w:hint="eastAsia" w:ascii="仿宋" w:hAnsi="仿宋" w:eastAsia="仿宋" w:cs="仿宋"/>
                <w:kern w:val="0"/>
                <w:sz w:val="24"/>
              </w:rPr>
              <w:br w:type="textWrapping"/>
            </w:r>
            <w:r>
              <w:rPr>
                <w:rFonts w:hint="eastAsia" w:ascii="仿宋" w:hAnsi="仿宋" w:eastAsia="仿宋" w:cs="仿宋"/>
                <w:kern w:val="0"/>
                <w:sz w:val="24"/>
              </w:rPr>
              <w:t>申请资金总额：1.63万元 ，其中申请财政资金：1.63万元  。</w:t>
            </w:r>
          </w:p>
        </w:tc>
        <w:tc>
          <w:tcPr>
            <w:tcW w:w="2023" w:type="pct"/>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24"/>
              </w:rPr>
            </w:pPr>
            <w:r>
              <w:rPr>
                <w:rFonts w:hint="eastAsia" w:ascii="仿宋" w:hAnsi="仿宋" w:eastAsia="仿宋" w:cs="仿宋"/>
                <w:kern w:val="0"/>
                <w:sz w:val="24"/>
              </w:rPr>
              <w:t>根据实际情况调整预算后，申请资金总额:1.63万元 ，其中申请财政资金：1.63万元  ，严格按照国家政策执行。</w:t>
            </w:r>
          </w:p>
        </w:tc>
      </w:tr>
      <w:tr>
        <w:tblPrEx>
          <w:tblCellMar>
            <w:top w:w="0" w:type="dxa"/>
            <w:left w:w="108" w:type="dxa"/>
            <w:bottom w:w="0" w:type="dxa"/>
            <w:right w:w="108" w:type="dxa"/>
          </w:tblCellMar>
        </w:tblPrEx>
        <w:trPr>
          <w:trHeight w:val="694" w:hRule="atLeast"/>
        </w:trPr>
        <w:tc>
          <w:tcPr>
            <w:tcW w:w="379" w:type="pct"/>
            <w:vMerge w:val="continue"/>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4"/>
              </w:rPr>
            </w:pPr>
          </w:p>
        </w:tc>
        <w:tc>
          <w:tcPr>
            <w:tcW w:w="4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24"/>
              </w:rPr>
            </w:pPr>
            <w:r>
              <w:rPr>
                <w:rFonts w:hint="eastAsia" w:ascii="仿宋" w:hAnsi="仿宋" w:eastAsia="仿宋" w:cs="仿宋"/>
                <w:kern w:val="0"/>
                <w:sz w:val="24"/>
              </w:rPr>
              <w:t>2.项目实施内容及过程概述</w:t>
            </w:r>
          </w:p>
        </w:tc>
        <w:tc>
          <w:tcPr>
            <w:tcW w:w="4135" w:type="pct"/>
            <w:gridSpan w:val="9"/>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C00000"/>
                <w:sz w:val="24"/>
              </w:rPr>
            </w:pPr>
            <w:r>
              <w:rPr>
                <w:rFonts w:hint="eastAsia" w:ascii="仿宋" w:hAnsi="仿宋" w:eastAsia="仿宋" w:cs="仿宋"/>
                <w:kern w:val="0"/>
                <w:sz w:val="24"/>
              </w:rPr>
              <w:t>区级配套：学生营养餐小学生396人乘190天乘元=16383元</w:t>
            </w:r>
          </w:p>
        </w:tc>
      </w:tr>
      <w:tr>
        <w:tblPrEx>
          <w:tblCellMar>
            <w:top w:w="0" w:type="dxa"/>
            <w:left w:w="108" w:type="dxa"/>
            <w:bottom w:w="0" w:type="dxa"/>
            <w:right w:w="108" w:type="dxa"/>
          </w:tblCellMar>
        </w:tblPrEx>
        <w:trPr>
          <w:trHeight w:val="360" w:hRule="atLeast"/>
        </w:trPr>
        <w:tc>
          <w:tcPr>
            <w:tcW w:w="37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预算执行情况（10分）</w:t>
            </w:r>
          </w:p>
        </w:tc>
        <w:tc>
          <w:tcPr>
            <w:tcW w:w="4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年度预算数（万元）</w:t>
            </w:r>
          </w:p>
        </w:tc>
        <w:tc>
          <w:tcPr>
            <w:tcW w:w="4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年初预算</w:t>
            </w:r>
          </w:p>
        </w:tc>
        <w:tc>
          <w:tcPr>
            <w:tcW w:w="6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调整后预算数</w:t>
            </w:r>
          </w:p>
        </w:tc>
        <w:tc>
          <w:tcPr>
            <w:tcW w:w="1060"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预算执行数</w:t>
            </w:r>
          </w:p>
        </w:tc>
        <w:tc>
          <w:tcPr>
            <w:tcW w:w="4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预算执行率</w:t>
            </w:r>
          </w:p>
        </w:tc>
        <w:tc>
          <w:tcPr>
            <w:tcW w:w="3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权重</w:t>
            </w:r>
          </w:p>
        </w:tc>
        <w:tc>
          <w:tcPr>
            <w:tcW w:w="3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得分</w:t>
            </w:r>
          </w:p>
        </w:tc>
        <w:tc>
          <w:tcPr>
            <w:tcW w:w="9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原因</w:t>
            </w:r>
          </w:p>
        </w:tc>
      </w:tr>
      <w:tr>
        <w:tblPrEx>
          <w:tblCellMar>
            <w:top w:w="0" w:type="dxa"/>
            <w:left w:w="108" w:type="dxa"/>
            <w:bottom w:w="0" w:type="dxa"/>
            <w:right w:w="108" w:type="dxa"/>
          </w:tblCellMar>
        </w:tblPrEx>
        <w:trPr>
          <w:trHeight w:val="345" w:hRule="atLeast"/>
        </w:trPr>
        <w:tc>
          <w:tcPr>
            <w:tcW w:w="37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rPr>
            </w:pPr>
          </w:p>
        </w:tc>
        <w:tc>
          <w:tcPr>
            <w:tcW w:w="4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总额</w:t>
            </w:r>
          </w:p>
        </w:tc>
        <w:tc>
          <w:tcPr>
            <w:tcW w:w="4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1.63</w:t>
            </w:r>
          </w:p>
        </w:tc>
        <w:tc>
          <w:tcPr>
            <w:tcW w:w="6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1.63</w:t>
            </w:r>
          </w:p>
        </w:tc>
        <w:tc>
          <w:tcPr>
            <w:tcW w:w="1060"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1.63</w:t>
            </w:r>
          </w:p>
        </w:tc>
        <w:tc>
          <w:tcPr>
            <w:tcW w:w="4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100%</w:t>
            </w:r>
          </w:p>
        </w:tc>
        <w:tc>
          <w:tcPr>
            <w:tcW w:w="3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10</w:t>
            </w:r>
          </w:p>
        </w:tc>
        <w:tc>
          <w:tcPr>
            <w:tcW w:w="3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10</w:t>
            </w:r>
          </w:p>
        </w:tc>
        <w:tc>
          <w:tcPr>
            <w:tcW w:w="95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iCs/>
                <w:sz w:val="24"/>
              </w:rPr>
            </w:pPr>
            <w:r>
              <w:rPr>
                <w:rFonts w:hint="eastAsia" w:ascii="仿宋" w:hAnsi="仿宋" w:eastAsia="仿宋" w:cs="仿宋"/>
                <w:iCs/>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390" w:hRule="atLeast"/>
        </w:trPr>
        <w:tc>
          <w:tcPr>
            <w:tcW w:w="37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rPr>
            </w:pPr>
          </w:p>
        </w:tc>
        <w:tc>
          <w:tcPr>
            <w:tcW w:w="4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其中：财政资金</w:t>
            </w:r>
          </w:p>
        </w:tc>
        <w:tc>
          <w:tcPr>
            <w:tcW w:w="4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1.63</w:t>
            </w:r>
          </w:p>
        </w:tc>
        <w:tc>
          <w:tcPr>
            <w:tcW w:w="6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1.63</w:t>
            </w:r>
          </w:p>
        </w:tc>
        <w:tc>
          <w:tcPr>
            <w:tcW w:w="1060"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1.63</w:t>
            </w:r>
          </w:p>
        </w:tc>
        <w:tc>
          <w:tcPr>
            <w:tcW w:w="4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100%</w:t>
            </w:r>
          </w:p>
        </w:tc>
        <w:tc>
          <w:tcPr>
            <w:tcW w:w="3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w:t>
            </w:r>
          </w:p>
        </w:tc>
        <w:tc>
          <w:tcPr>
            <w:tcW w:w="3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w:t>
            </w:r>
          </w:p>
        </w:tc>
        <w:tc>
          <w:tcPr>
            <w:tcW w:w="951" w:type="pct"/>
            <w:vMerge w:val="continue"/>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iCs/>
                <w:sz w:val="24"/>
              </w:rPr>
            </w:pPr>
          </w:p>
        </w:tc>
      </w:tr>
      <w:tr>
        <w:tblPrEx>
          <w:tblCellMar>
            <w:top w:w="0" w:type="dxa"/>
            <w:left w:w="108" w:type="dxa"/>
            <w:bottom w:w="0" w:type="dxa"/>
            <w:right w:w="108" w:type="dxa"/>
          </w:tblCellMar>
        </w:tblPrEx>
        <w:trPr>
          <w:trHeight w:val="409" w:hRule="atLeast"/>
        </w:trPr>
        <w:tc>
          <w:tcPr>
            <w:tcW w:w="37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rPr>
            </w:pPr>
          </w:p>
        </w:tc>
        <w:tc>
          <w:tcPr>
            <w:tcW w:w="4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财政专户管理资金</w:t>
            </w:r>
          </w:p>
        </w:tc>
        <w:tc>
          <w:tcPr>
            <w:tcW w:w="4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0.00</w:t>
            </w:r>
          </w:p>
        </w:tc>
        <w:tc>
          <w:tcPr>
            <w:tcW w:w="6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0.00</w:t>
            </w:r>
          </w:p>
        </w:tc>
        <w:tc>
          <w:tcPr>
            <w:tcW w:w="1060"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0.00</w:t>
            </w:r>
          </w:p>
        </w:tc>
        <w:tc>
          <w:tcPr>
            <w:tcW w:w="4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0.00%</w:t>
            </w:r>
          </w:p>
        </w:tc>
        <w:tc>
          <w:tcPr>
            <w:tcW w:w="3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w:t>
            </w:r>
          </w:p>
        </w:tc>
        <w:tc>
          <w:tcPr>
            <w:tcW w:w="3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w:t>
            </w:r>
          </w:p>
        </w:tc>
        <w:tc>
          <w:tcPr>
            <w:tcW w:w="951" w:type="pct"/>
            <w:vMerge w:val="continue"/>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iCs/>
                <w:sz w:val="24"/>
              </w:rPr>
            </w:pPr>
          </w:p>
        </w:tc>
      </w:tr>
      <w:tr>
        <w:tblPrEx>
          <w:tblCellMar>
            <w:top w:w="0" w:type="dxa"/>
            <w:left w:w="108" w:type="dxa"/>
            <w:bottom w:w="0" w:type="dxa"/>
            <w:right w:w="108" w:type="dxa"/>
          </w:tblCellMar>
        </w:tblPrEx>
        <w:trPr>
          <w:trHeight w:val="360" w:hRule="atLeast"/>
        </w:trPr>
        <w:tc>
          <w:tcPr>
            <w:tcW w:w="37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rPr>
            </w:pPr>
          </w:p>
        </w:tc>
        <w:tc>
          <w:tcPr>
            <w:tcW w:w="4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单位资金</w:t>
            </w:r>
          </w:p>
        </w:tc>
        <w:tc>
          <w:tcPr>
            <w:tcW w:w="4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0.00</w:t>
            </w:r>
          </w:p>
        </w:tc>
        <w:tc>
          <w:tcPr>
            <w:tcW w:w="6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0.00</w:t>
            </w:r>
          </w:p>
        </w:tc>
        <w:tc>
          <w:tcPr>
            <w:tcW w:w="1060"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0.00</w:t>
            </w:r>
          </w:p>
        </w:tc>
        <w:tc>
          <w:tcPr>
            <w:tcW w:w="4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0.00%</w:t>
            </w:r>
          </w:p>
        </w:tc>
        <w:tc>
          <w:tcPr>
            <w:tcW w:w="3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w:t>
            </w:r>
          </w:p>
        </w:tc>
        <w:tc>
          <w:tcPr>
            <w:tcW w:w="3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w:t>
            </w:r>
          </w:p>
        </w:tc>
        <w:tc>
          <w:tcPr>
            <w:tcW w:w="951" w:type="pct"/>
            <w:vMerge w:val="continue"/>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iCs/>
                <w:sz w:val="24"/>
              </w:rPr>
            </w:pPr>
          </w:p>
        </w:tc>
      </w:tr>
      <w:tr>
        <w:tblPrEx>
          <w:tblCellMar>
            <w:top w:w="0" w:type="dxa"/>
            <w:left w:w="108" w:type="dxa"/>
            <w:bottom w:w="0" w:type="dxa"/>
            <w:right w:w="108" w:type="dxa"/>
          </w:tblCellMar>
        </w:tblPrEx>
        <w:trPr>
          <w:trHeight w:val="338" w:hRule="atLeast"/>
        </w:trPr>
        <w:tc>
          <w:tcPr>
            <w:tcW w:w="37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rPr>
            </w:pPr>
          </w:p>
        </w:tc>
        <w:tc>
          <w:tcPr>
            <w:tcW w:w="4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其他资金</w:t>
            </w:r>
          </w:p>
        </w:tc>
        <w:tc>
          <w:tcPr>
            <w:tcW w:w="444" w:type="pc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iCs/>
                <w:sz w:val="24"/>
              </w:rPr>
            </w:pPr>
          </w:p>
        </w:tc>
        <w:tc>
          <w:tcPr>
            <w:tcW w:w="607" w:type="pc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iCs/>
                <w:sz w:val="24"/>
              </w:rPr>
            </w:pPr>
          </w:p>
        </w:tc>
        <w:tc>
          <w:tcPr>
            <w:tcW w:w="1060" w:type="pct"/>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iCs/>
                <w:sz w:val="24"/>
              </w:rPr>
            </w:pPr>
          </w:p>
        </w:tc>
        <w:tc>
          <w:tcPr>
            <w:tcW w:w="444" w:type="pc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iCs/>
                <w:sz w:val="24"/>
              </w:rPr>
            </w:pPr>
          </w:p>
        </w:tc>
        <w:tc>
          <w:tcPr>
            <w:tcW w:w="3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w:t>
            </w:r>
          </w:p>
        </w:tc>
        <w:tc>
          <w:tcPr>
            <w:tcW w:w="3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w:t>
            </w:r>
          </w:p>
        </w:tc>
        <w:tc>
          <w:tcPr>
            <w:tcW w:w="951" w:type="pct"/>
            <w:vMerge w:val="continue"/>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iCs/>
                <w:sz w:val="24"/>
              </w:rPr>
            </w:pPr>
          </w:p>
        </w:tc>
      </w:tr>
      <w:tr>
        <w:tblPrEx>
          <w:tblCellMar>
            <w:top w:w="0" w:type="dxa"/>
            <w:left w:w="108" w:type="dxa"/>
            <w:bottom w:w="0" w:type="dxa"/>
            <w:right w:w="108" w:type="dxa"/>
          </w:tblCellMar>
        </w:tblPrEx>
        <w:trPr>
          <w:trHeight w:val="454" w:hRule="atLeast"/>
        </w:trPr>
        <w:tc>
          <w:tcPr>
            <w:tcW w:w="37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绩效指标（90分）</w:t>
            </w:r>
          </w:p>
        </w:tc>
        <w:tc>
          <w:tcPr>
            <w:tcW w:w="4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一级指标</w:t>
            </w:r>
          </w:p>
        </w:tc>
        <w:tc>
          <w:tcPr>
            <w:tcW w:w="4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二级指标</w:t>
            </w:r>
          </w:p>
        </w:tc>
        <w:tc>
          <w:tcPr>
            <w:tcW w:w="6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三级指标</w:t>
            </w:r>
          </w:p>
        </w:tc>
        <w:tc>
          <w:tcPr>
            <w:tcW w:w="2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指标性质</w:t>
            </w:r>
          </w:p>
        </w:tc>
        <w:tc>
          <w:tcPr>
            <w:tcW w:w="4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指标值</w:t>
            </w:r>
          </w:p>
        </w:tc>
        <w:tc>
          <w:tcPr>
            <w:tcW w:w="36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度量单位</w:t>
            </w:r>
          </w:p>
        </w:tc>
        <w:tc>
          <w:tcPr>
            <w:tcW w:w="4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完成值</w:t>
            </w:r>
          </w:p>
        </w:tc>
        <w:tc>
          <w:tcPr>
            <w:tcW w:w="3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权重</w:t>
            </w:r>
          </w:p>
        </w:tc>
        <w:tc>
          <w:tcPr>
            <w:tcW w:w="3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得分</w:t>
            </w:r>
          </w:p>
        </w:tc>
        <w:tc>
          <w:tcPr>
            <w:tcW w:w="9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未完成原因分析</w:t>
            </w:r>
          </w:p>
        </w:tc>
      </w:tr>
      <w:tr>
        <w:tblPrEx>
          <w:tblCellMar>
            <w:top w:w="0" w:type="dxa"/>
            <w:left w:w="108" w:type="dxa"/>
            <w:bottom w:w="0" w:type="dxa"/>
            <w:right w:w="108" w:type="dxa"/>
          </w:tblCellMar>
        </w:tblPrEx>
        <w:trPr>
          <w:trHeight w:val="454" w:hRule="atLeast"/>
        </w:trPr>
        <w:tc>
          <w:tcPr>
            <w:tcW w:w="37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rPr>
            </w:pPr>
          </w:p>
        </w:tc>
        <w:tc>
          <w:tcPr>
            <w:tcW w:w="4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产出指标</w:t>
            </w:r>
          </w:p>
        </w:tc>
        <w:tc>
          <w:tcPr>
            <w:tcW w:w="4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数量指标</w:t>
            </w:r>
          </w:p>
        </w:tc>
        <w:tc>
          <w:tcPr>
            <w:tcW w:w="6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2024年学生营养餐</w:t>
            </w:r>
          </w:p>
        </w:tc>
        <w:tc>
          <w:tcPr>
            <w:tcW w:w="2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w:t>
            </w:r>
          </w:p>
        </w:tc>
        <w:tc>
          <w:tcPr>
            <w:tcW w:w="4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C00000"/>
                <w:sz w:val="24"/>
              </w:rPr>
            </w:pPr>
            <w:r>
              <w:rPr>
                <w:rFonts w:hint="eastAsia" w:ascii="仿宋" w:hAnsi="仿宋" w:eastAsia="仿宋" w:cs="仿宋"/>
                <w:color w:val="000000" w:themeColor="text1"/>
                <w:kern w:val="0"/>
                <w:sz w:val="24"/>
              </w:rPr>
              <w:t>16383</w:t>
            </w:r>
          </w:p>
        </w:tc>
        <w:tc>
          <w:tcPr>
            <w:tcW w:w="36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元/年</w:t>
            </w:r>
          </w:p>
        </w:tc>
        <w:tc>
          <w:tcPr>
            <w:tcW w:w="4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iCs/>
                <w:color w:val="C00000"/>
                <w:sz w:val="24"/>
              </w:rPr>
            </w:pPr>
            <w:r>
              <w:rPr>
                <w:rFonts w:hint="eastAsia" w:ascii="仿宋" w:hAnsi="仿宋" w:eastAsia="仿宋" w:cs="仿宋"/>
                <w:color w:val="000000" w:themeColor="text1"/>
                <w:kern w:val="0"/>
                <w:sz w:val="24"/>
              </w:rPr>
              <w:t>16383</w:t>
            </w:r>
          </w:p>
        </w:tc>
        <w:tc>
          <w:tcPr>
            <w:tcW w:w="3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40</w:t>
            </w:r>
          </w:p>
        </w:tc>
        <w:tc>
          <w:tcPr>
            <w:tcW w:w="3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40</w:t>
            </w:r>
          </w:p>
        </w:tc>
        <w:tc>
          <w:tcPr>
            <w:tcW w:w="9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iCs/>
                <w:sz w:val="24"/>
              </w:rPr>
            </w:pPr>
            <w:r>
              <w:rPr>
                <w:rFonts w:hint="eastAsia" w:ascii="仿宋" w:hAnsi="仿宋" w:eastAsia="仿宋" w:cs="仿宋"/>
                <w:iCs/>
                <w:kern w:val="0"/>
                <w:sz w:val="24"/>
              </w:rPr>
              <w:t>2024年秋季学期营养餐采用集中供应，因为询价，供应商未及时提供发票，所以无法转账造成的。</w:t>
            </w:r>
          </w:p>
        </w:tc>
      </w:tr>
      <w:tr>
        <w:tblPrEx>
          <w:tblCellMar>
            <w:top w:w="0" w:type="dxa"/>
            <w:left w:w="108" w:type="dxa"/>
            <w:bottom w:w="0" w:type="dxa"/>
            <w:right w:w="108" w:type="dxa"/>
          </w:tblCellMar>
        </w:tblPrEx>
        <w:trPr>
          <w:trHeight w:val="454" w:hRule="atLeast"/>
        </w:trPr>
        <w:tc>
          <w:tcPr>
            <w:tcW w:w="37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rPr>
            </w:pPr>
          </w:p>
        </w:tc>
        <w:tc>
          <w:tcPr>
            <w:tcW w:w="4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效益指标</w:t>
            </w:r>
          </w:p>
        </w:tc>
        <w:tc>
          <w:tcPr>
            <w:tcW w:w="4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社会效益指标</w:t>
            </w:r>
          </w:p>
        </w:tc>
        <w:tc>
          <w:tcPr>
            <w:tcW w:w="6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2024年学生营养餐</w:t>
            </w:r>
          </w:p>
        </w:tc>
        <w:tc>
          <w:tcPr>
            <w:tcW w:w="2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w:t>
            </w:r>
          </w:p>
        </w:tc>
        <w:tc>
          <w:tcPr>
            <w:tcW w:w="4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color w:val="000000" w:themeColor="text1"/>
                <w:kern w:val="0"/>
                <w:sz w:val="24"/>
              </w:rPr>
              <w:t>16383</w:t>
            </w:r>
          </w:p>
        </w:tc>
        <w:tc>
          <w:tcPr>
            <w:tcW w:w="36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元/年</w:t>
            </w:r>
          </w:p>
        </w:tc>
        <w:tc>
          <w:tcPr>
            <w:tcW w:w="4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iCs/>
                <w:sz w:val="24"/>
              </w:rPr>
            </w:pPr>
            <w:r>
              <w:rPr>
                <w:rFonts w:hint="eastAsia" w:ascii="仿宋" w:hAnsi="仿宋" w:eastAsia="仿宋" w:cs="仿宋"/>
                <w:color w:val="000000" w:themeColor="text1"/>
                <w:kern w:val="0"/>
                <w:sz w:val="24"/>
              </w:rPr>
              <w:t>16383</w:t>
            </w:r>
          </w:p>
        </w:tc>
        <w:tc>
          <w:tcPr>
            <w:tcW w:w="3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20</w:t>
            </w:r>
          </w:p>
        </w:tc>
        <w:tc>
          <w:tcPr>
            <w:tcW w:w="3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20</w:t>
            </w:r>
          </w:p>
        </w:tc>
        <w:tc>
          <w:tcPr>
            <w:tcW w:w="9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iCs/>
                <w:sz w:val="24"/>
              </w:rPr>
            </w:pPr>
            <w:r>
              <w:rPr>
                <w:rFonts w:hint="eastAsia" w:ascii="仿宋" w:hAnsi="仿宋" w:eastAsia="仿宋" w:cs="仿宋"/>
                <w:iCs/>
                <w:kern w:val="0"/>
                <w:sz w:val="24"/>
              </w:rPr>
              <w:t>2024年秋季学期营养餐采用集中供应，因为询价，供应商未及时提供发票，所以无法转账造成的。</w:t>
            </w:r>
          </w:p>
        </w:tc>
      </w:tr>
      <w:tr>
        <w:tblPrEx>
          <w:tblCellMar>
            <w:top w:w="0" w:type="dxa"/>
            <w:left w:w="108" w:type="dxa"/>
            <w:bottom w:w="0" w:type="dxa"/>
            <w:right w:w="108" w:type="dxa"/>
          </w:tblCellMar>
        </w:tblPrEx>
        <w:trPr>
          <w:trHeight w:val="454" w:hRule="atLeast"/>
        </w:trPr>
        <w:tc>
          <w:tcPr>
            <w:tcW w:w="37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rPr>
            </w:pPr>
          </w:p>
        </w:tc>
        <w:tc>
          <w:tcPr>
            <w:tcW w:w="4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满意度指标</w:t>
            </w:r>
          </w:p>
        </w:tc>
        <w:tc>
          <w:tcPr>
            <w:tcW w:w="4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服务对象满意度指标</w:t>
            </w:r>
          </w:p>
        </w:tc>
        <w:tc>
          <w:tcPr>
            <w:tcW w:w="6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2024年学生营养餐</w:t>
            </w:r>
          </w:p>
        </w:tc>
        <w:tc>
          <w:tcPr>
            <w:tcW w:w="2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w:t>
            </w:r>
          </w:p>
        </w:tc>
        <w:tc>
          <w:tcPr>
            <w:tcW w:w="4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color w:val="000000" w:themeColor="text1"/>
                <w:kern w:val="0"/>
                <w:sz w:val="24"/>
              </w:rPr>
              <w:t>16383</w:t>
            </w:r>
          </w:p>
        </w:tc>
        <w:tc>
          <w:tcPr>
            <w:tcW w:w="36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元/年</w:t>
            </w:r>
          </w:p>
        </w:tc>
        <w:tc>
          <w:tcPr>
            <w:tcW w:w="4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iCs/>
                <w:sz w:val="24"/>
              </w:rPr>
            </w:pPr>
            <w:r>
              <w:rPr>
                <w:rFonts w:hint="eastAsia" w:ascii="仿宋" w:hAnsi="仿宋" w:eastAsia="仿宋" w:cs="仿宋"/>
                <w:color w:val="000000" w:themeColor="text1"/>
                <w:kern w:val="0"/>
                <w:sz w:val="24"/>
              </w:rPr>
              <w:t>16383</w:t>
            </w:r>
          </w:p>
        </w:tc>
        <w:tc>
          <w:tcPr>
            <w:tcW w:w="3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10</w:t>
            </w:r>
          </w:p>
        </w:tc>
        <w:tc>
          <w:tcPr>
            <w:tcW w:w="3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10</w:t>
            </w:r>
          </w:p>
        </w:tc>
        <w:tc>
          <w:tcPr>
            <w:tcW w:w="9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iCs/>
                <w:sz w:val="24"/>
              </w:rPr>
            </w:pPr>
            <w:r>
              <w:rPr>
                <w:rFonts w:hint="eastAsia" w:ascii="仿宋" w:hAnsi="仿宋" w:eastAsia="仿宋" w:cs="仿宋"/>
                <w:iCs/>
                <w:kern w:val="0"/>
                <w:sz w:val="24"/>
              </w:rPr>
              <w:t>2024年秋季学期营养餐采用集中供应，因为询价，供应商未及时提供发票，所以无法转账造成的。</w:t>
            </w:r>
          </w:p>
        </w:tc>
      </w:tr>
      <w:tr>
        <w:tblPrEx>
          <w:tblCellMar>
            <w:top w:w="0" w:type="dxa"/>
            <w:left w:w="108" w:type="dxa"/>
            <w:bottom w:w="0" w:type="dxa"/>
            <w:right w:w="108" w:type="dxa"/>
          </w:tblCellMar>
        </w:tblPrEx>
        <w:trPr>
          <w:trHeight w:val="454" w:hRule="atLeast"/>
        </w:trPr>
        <w:tc>
          <w:tcPr>
            <w:tcW w:w="37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4"/>
              </w:rPr>
            </w:pPr>
          </w:p>
        </w:tc>
        <w:tc>
          <w:tcPr>
            <w:tcW w:w="48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成本指标</w:t>
            </w:r>
          </w:p>
        </w:tc>
        <w:tc>
          <w:tcPr>
            <w:tcW w:w="4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经济成本指标</w:t>
            </w:r>
          </w:p>
        </w:tc>
        <w:tc>
          <w:tcPr>
            <w:tcW w:w="6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2024年学生营养餐</w:t>
            </w:r>
          </w:p>
        </w:tc>
        <w:tc>
          <w:tcPr>
            <w:tcW w:w="2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w:t>
            </w:r>
          </w:p>
        </w:tc>
        <w:tc>
          <w:tcPr>
            <w:tcW w:w="4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color w:val="000000" w:themeColor="text1"/>
                <w:kern w:val="0"/>
                <w:sz w:val="24"/>
              </w:rPr>
              <w:t>16383</w:t>
            </w:r>
          </w:p>
        </w:tc>
        <w:tc>
          <w:tcPr>
            <w:tcW w:w="36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元/年</w:t>
            </w:r>
          </w:p>
        </w:tc>
        <w:tc>
          <w:tcPr>
            <w:tcW w:w="4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iCs/>
                <w:sz w:val="24"/>
              </w:rPr>
            </w:pPr>
            <w:r>
              <w:rPr>
                <w:rFonts w:hint="eastAsia" w:ascii="仿宋" w:hAnsi="仿宋" w:eastAsia="仿宋" w:cs="仿宋"/>
                <w:color w:val="000000" w:themeColor="text1"/>
                <w:kern w:val="0"/>
                <w:sz w:val="24"/>
              </w:rPr>
              <w:t>16383</w:t>
            </w:r>
          </w:p>
        </w:tc>
        <w:tc>
          <w:tcPr>
            <w:tcW w:w="3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20</w:t>
            </w:r>
          </w:p>
        </w:tc>
        <w:tc>
          <w:tcPr>
            <w:tcW w:w="3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20</w:t>
            </w:r>
          </w:p>
        </w:tc>
        <w:tc>
          <w:tcPr>
            <w:tcW w:w="9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iCs/>
                <w:sz w:val="24"/>
              </w:rPr>
            </w:pPr>
            <w:r>
              <w:rPr>
                <w:rFonts w:hint="eastAsia" w:ascii="仿宋" w:hAnsi="仿宋" w:eastAsia="仿宋" w:cs="仿宋"/>
                <w:iCs/>
                <w:kern w:val="0"/>
                <w:sz w:val="24"/>
              </w:rPr>
              <w:t>2024年秋季学期营养餐采用集中供应，因为询价，供应商未及时提供发票，所以无法转账造成的。</w:t>
            </w:r>
          </w:p>
        </w:tc>
      </w:tr>
      <w:tr>
        <w:tblPrEx>
          <w:tblCellMar>
            <w:top w:w="0" w:type="dxa"/>
            <w:left w:w="108" w:type="dxa"/>
            <w:bottom w:w="0" w:type="dxa"/>
            <w:right w:w="108" w:type="dxa"/>
          </w:tblCellMar>
        </w:tblPrEx>
        <w:trPr>
          <w:trHeight w:val="285" w:hRule="atLeast"/>
        </w:trPr>
        <w:tc>
          <w:tcPr>
            <w:tcW w:w="3422" w:type="pct"/>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合计</w:t>
            </w:r>
          </w:p>
        </w:tc>
        <w:tc>
          <w:tcPr>
            <w:tcW w:w="3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100</w:t>
            </w:r>
          </w:p>
        </w:tc>
        <w:tc>
          <w:tcPr>
            <w:tcW w:w="314" w:type="pct"/>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仿宋" w:hAnsi="仿宋" w:eastAsia="仿宋" w:cs="仿宋"/>
                <w:sz w:val="24"/>
              </w:rPr>
            </w:pPr>
            <w:r>
              <w:rPr>
                <w:rFonts w:hint="eastAsia" w:ascii="仿宋" w:hAnsi="仿宋" w:eastAsia="仿宋" w:cs="仿宋"/>
                <w:kern w:val="0"/>
                <w:sz w:val="24"/>
              </w:rPr>
              <w:t>100</w:t>
            </w:r>
          </w:p>
        </w:tc>
        <w:tc>
          <w:tcPr>
            <w:tcW w:w="951" w:type="pct"/>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4"/>
              </w:rPr>
            </w:pPr>
          </w:p>
        </w:tc>
      </w:tr>
      <w:tr>
        <w:tblPrEx>
          <w:tblCellMar>
            <w:top w:w="0" w:type="dxa"/>
            <w:left w:w="108" w:type="dxa"/>
            <w:bottom w:w="0" w:type="dxa"/>
            <w:right w:w="108" w:type="dxa"/>
          </w:tblCellMar>
        </w:tblPrEx>
        <w:trPr>
          <w:trHeight w:val="604" w:hRule="atLeast"/>
        </w:trPr>
        <w:tc>
          <w:tcPr>
            <w:tcW w:w="37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评价结论</w:t>
            </w:r>
          </w:p>
        </w:tc>
        <w:tc>
          <w:tcPr>
            <w:tcW w:w="4621" w:type="pct"/>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iCs/>
                <w:sz w:val="24"/>
              </w:rPr>
            </w:pPr>
            <w:r>
              <w:rPr>
                <w:rFonts w:hint="eastAsia" w:ascii="仿宋" w:hAnsi="仿宋" w:eastAsia="仿宋" w:cs="仿宋"/>
                <w:iCs/>
                <w:kern w:val="0"/>
                <w:sz w:val="24"/>
              </w:rPr>
              <w:t>是办人民满意教育的需要，是实现义务教育均衡的需要。</w:t>
            </w:r>
          </w:p>
        </w:tc>
      </w:tr>
      <w:tr>
        <w:tblPrEx>
          <w:tblCellMar>
            <w:top w:w="0" w:type="dxa"/>
            <w:left w:w="108" w:type="dxa"/>
            <w:bottom w:w="0" w:type="dxa"/>
            <w:right w:w="108" w:type="dxa"/>
          </w:tblCellMar>
        </w:tblPrEx>
        <w:trPr>
          <w:trHeight w:val="574" w:hRule="atLeast"/>
        </w:trPr>
        <w:tc>
          <w:tcPr>
            <w:tcW w:w="37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存在问题</w:t>
            </w:r>
          </w:p>
        </w:tc>
        <w:tc>
          <w:tcPr>
            <w:tcW w:w="4621" w:type="pct"/>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iCs/>
                <w:sz w:val="24"/>
              </w:rPr>
            </w:pPr>
            <w:r>
              <w:rPr>
                <w:rFonts w:hint="eastAsia" w:ascii="仿宋" w:hAnsi="仿宋" w:eastAsia="仿宋" w:cs="仿宋"/>
                <w:iCs/>
                <w:kern w:val="0"/>
                <w:sz w:val="24"/>
              </w:rPr>
              <w:t>2024年秋季学期营养餐采用集中供应，因为询价，供应商未及时提供发票，所以无法转账造成的。</w:t>
            </w:r>
          </w:p>
        </w:tc>
      </w:tr>
      <w:tr>
        <w:tblPrEx>
          <w:tblCellMar>
            <w:top w:w="0" w:type="dxa"/>
            <w:left w:w="108" w:type="dxa"/>
            <w:bottom w:w="0" w:type="dxa"/>
            <w:right w:w="108" w:type="dxa"/>
          </w:tblCellMar>
        </w:tblPrEx>
        <w:trPr>
          <w:trHeight w:val="634" w:hRule="atLeast"/>
        </w:trPr>
        <w:tc>
          <w:tcPr>
            <w:tcW w:w="37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改进措施</w:t>
            </w:r>
          </w:p>
        </w:tc>
        <w:tc>
          <w:tcPr>
            <w:tcW w:w="4621" w:type="pct"/>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iCs/>
                <w:sz w:val="24"/>
              </w:rPr>
            </w:pPr>
            <w:r>
              <w:rPr>
                <w:rFonts w:hint="eastAsia" w:ascii="仿宋" w:hAnsi="仿宋" w:eastAsia="仿宋" w:cs="仿宋"/>
                <w:iCs/>
                <w:kern w:val="0"/>
                <w:sz w:val="24"/>
              </w:rPr>
              <w:t>无</w:t>
            </w:r>
          </w:p>
        </w:tc>
      </w:tr>
      <w:tr>
        <w:tblPrEx>
          <w:tblCellMar>
            <w:top w:w="0" w:type="dxa"/>
            <w:left w:w="108" w:type="dxa"/>
            <w:bottom w:w="0" w:type="dxa"/>
            <w:right w:w="108" w:type="dxa"/>
          </w:tblCellMar>
        </w:tblPrEx>
        <w:trPr>
          <w:trHeight w:val="285" w:hRule="atLeast"/>
        </w:trPr>
        <w:tc>
          <w:tcPr>
            <w:tcW w:w="2166" w:type="pct"/>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24"/>
              </w:rPr>
            </w:pPr>
            <w:r>
              <w:rPr>
                <w:rFonts w:hint="eastAsia" w:ascii="仿宋" w:hAnsi="仿宋" w:eastAsia="仿宋" w:cs="仿宋"/>
                <w:kern w:val="0"/>
                <w:sz w:val="24"/>
              </w:rPr>
              <w:t>项目负责人：尹伟洁</w:t>
            </w:r>
          </w:p>
        </w:tc>
        <w:tc>
          <w:tcPr>
            <w:tcW w:w="2834" w:type="pct"/>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24"/>
              </w:rPr>
            </w:pPr>
            <w:r>
              <w:rPr>
                <w:rFonts w:hint="eastAsia" w:ascii="仿宋" w:hAnsi="仿宋" w:eastAsia="仿宋" w:cs="仿宋"/>
                <w:kern w:val="0"/>
                <w:sz w:val="24"/>
              </w:rPr>
              <w:t>财务负责人：刘代星</w:t>
            </w:r>
          </w:p>
        </w:tc>
      </w:tr>
    </w:tbl>
    <w:p>
      <w:pPr>
        <w:rPr>
          <w:rFonts w:eastAsia="黑体" w:cs="黑体"/>
          <w:kern w:val="0"/>
          <w:sz w:val="32"/>
          <w:szCs w:val="32"/>
          <w:shd w:val="clear" w:color="auto" w:fill="FFFFFF"/>
          <w:lang w:val="zh-CN"/>
        </w:rPr>
      </w:pPr>
    </w:p>
    <w:p>
      <w:pPr>
        <w:pStyle w:val="9"/>
        <w:spacing w:before="93"/>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pPr>
        <w:pStyle w:val="40"/>
        <w:spacing w:line="578" w:lineRule="exact"/>
        <w:jc w:val="center"/>
        <w:rPr>
          <w:rFonts w:ascii="Times New Roman" w:hAnsi="Times New Roman" w:eastAsia="方正小标宋简体" w:cs="方正小标宋简体"/>
          <w:color w:val="auto"/>
          <w:kern w:val="2"/>
          <w:sz w:val="44"/>
          <w:szCs w:val="44"/>
          <w:lang w:val="en-US"/>
        </w:rPr>
      </w:pPr>
    </w:p>
    <w:p>
      <w:pPr>
        <w:pStyle w:val="40"/>
        <w:spacing w:line="578" w:lineRule="exact"/>
        <w:ind w:firstLine="440" w:firstLineChars="100"/>
        <w:rPr>
          <w:rFonts w:ascii="Times New Roman" w:hAnsi="Times New Roman" w:eastAsia="黑体"/>
          <w:color w:val="auto"/>
          <w:kern w:val="2"/>
          <w:sz w:val="44"/>
          <w:szCs w:val="44"/>
          <w:lang w:val="en-US"/>
        </w:rPr>
      </w:pPr>
      <w:r>
        <w:rPr>
          <w:rFonts w:hint="eastAsia" w:ascii="Times New Roman" w:hAnsi="Times New Roman" w:eastAsia="黑体"/>
          <w:color w:val="auto"/>
          <w:kern w:val="2"/>
          <w:sz w:val="44"/>
          <w:szCs w:val="44"/>
          <w:lang w:val="en-US"/>
        </w:rPr>
        <w:t>金江中小学农村学校营养餐保障计划</w:t>
      </w:r>
    </w:p>
    <w:p>
      <w:pPr>
        <w:pStyle w:val="40"/>
        <w:spacing w:line="578" w:lineRule="exact"/>
        <w:ind w:firstLine="2640" w:firstLineChars="600"/>
        <w:rPr>
          <w:rFonts w:ascii="Times New Roman" w:hAnsi="Times New Roman" w:eastAsia="黑体"/>
          <w:color w:val="auto"/>
          <w:kern w:val="2"/>
          <w:sz w:val="44"/>
          <w:szCs w:val="44"/>
          <w:lang w:val="en-US"/>
        </w:rPr>
      </w:pPr>
      <w:r>
        <w:rPr>
          <w:rFonts w:hint="eastAsia" w:ascii="Times New Roman" w:hAnsi="Times New Roman" w:eastAsia="黑体"/>
          <w:color w:val="auto"/>
          <w:kern w:val="2"/>
          <w:sz w:val="44"/>
          <w:szCs w:val="44"/>
          <w:lang w:val="en-US"/>
        </w:rPr>
        <w:t>绩效评估报告</w:t>
      </w:r>
    </w:p>
    <w:p>
      <w:pPr>
        <w:adjustRightInd w:val="0"/>
        <w:snapToGrid w:val="0"/>
        <w:spacing w:line="578" w:lineRule="exact"/>
        <w:rPr>
          <w:rFonts w:ascii="仿宋" w:hAnsi="仿宋" w:eastAsia="仿宋" w:cs="仿宋"/>
          <w:b/>
          <w:bCs/>
          <w:sz w:val="32"/>
          <w:szCs w:val="32"/>
          <w:lang w:val="zh-CN"/>
        </w:rPr>
      </w:pPr>
      <w:r>
        <w:rPr>
          <w:rFonts w:hint="eastAsia" w:ascii="黑体" w:hAnsi="黑体" w:eastAsia="黑体" w:cs="黑体"/>
          <w:b/>
          <w:bCs/>
          <w:sz w:val="32"/>
          <w:szCs w:val="32"/>
        </w:rPr>
        <w:t>一、</w:t>
      </w:r>
      <w:r>
        <w:rPr>
          <w:rFonts w:hint="eastAsia" w:ascii="黑体" w:hAnsi="黑体" w:eastAsia="黑体" w:cs="黑体"/>
          <w:b/>
          <w:bCs/>
          <w:sz w:val="32"/>
          <w:szCs w:val="32"/>
          <w:lang w:val="zh-CN"/>
        </w:rPr>
        <w:t>项目概况</w:t>
      </w:r>
    </w:p>
    <w:p>
      <w:pPr>
        <w:adjustRightInd w:val="0"/>
        <w:snapToGrid w:val="0"/>
        <w:spacing w:line="578" w:lineRule="exact"/>
        <w:ind w:firstLine="642" w:firstLineChars="200"/>
        <w:rPr>
          <w:rFonts w:ascii="方正仿宋_GB2312" w:hAnsi="方正仿宋_GB2312" w:eastAsia="方正仿宋_GB2312" w:cs="方正仿宋_GB2312"/>
          <w:b/>
          <w:bCs/>
          <w:sz w:val="32"/>
          <w:szCs w:val="32"/>
          <w:lang w:val="zh-CN"/>
        </w:rPr>
      </w:pPr>
      <w:r>
        <w:rPr>
          <w:rFonts w:hint="eastAsia" w:eastAsia="仿宋"/>
          <w:b/>
          <w:bCs/>
          <w:sz w:val="32"/>
          <w:szCs w:val="32"/>
        </w:rPr>
        <w:t>（一）设立背景及基本情况。</w:t>
      </w:r>
    </w:p>
    <w:p>
      <w:pPr>
        <w:ind w:firstLine="640" w:firstLineChars="200"/>
        <w:jc w:val="left"/>
        <w:rPr>
          <w:rFonts w:eastAsia="仿宋"/>
          <w:sz w:val="32"/>
          <w:szCs w:val="32"/>
        </w:rPr>
      </w:pPr>
      <w:r>
        <w:rPr>
          <w:rFonts w:hint="eastAsia" w:eastAsia="仿宋"/>
          <w:sz w:val="32"/>
          <w:szCs w:val="32"/>
        </w:rPr>
        <w:t>为了进一步改善农村中小学生营养状况，提高农村学生健康水平，加快农村教育发展，促进教育公平，解决贫困地区教育现状，满足农村教育发展的需要，根据《国家中长期教育改革和发展规划纲要（2010——2020年）》以及《农村义务教育学生营养改善计划实施细则》《四川省城乡义务教育补助经费管理办法》等文件精神，为了提高学生健康水平，增强青少年身体素质的客观需求，农村义务教育学生营养膳食补助标准为5元／人.天，按190天提供补助。</w:t>
      </w:r>
    </w:p>
    <w:p>
      <w:pPr>
        <w:ind w:firstLine="640" w:firstLineChars="200"/>
        <w:jc w:val="left"/>
        <w:rPr>
          <w:rFonts w:eastAsia="仿宋"/>
          <w:sz w:val="32"/>
          <w:szCs w:val="32"/>
        </w:rPr>
      </w:pPr>
      <w:r>
        <w:rPr>
          <w:rFonts w:hint="eastAsia" w:eastAsia="仿宋"/>
          <w:sz w:val="32"/>
          <w:szCs w:val="32"/>
        </w:rPr>
        <w:t>学校营养餐采用的是“营养午餐”模式，所需的米、面、粮、油等干货、肉制品、蔬菜都由公开招标胜出的中标商定点供应，学校与中标商按“一年一签”的方式签订供货合同，购货所需经费由学校财务通过转账方式与对方结算。</w:t>
      </w:r>
    </w:p>
    <w:p>
      <w:pPr>
        <w:adjustRightInd w:val="0"/>
        <w:snapToGrid w:val="0"/>
        <w:spacing w:line="578" w:lineRule="exact"/>
        <w:ind w:firstLine="720"/>
        <w:rPr>
          <w:rFonts w:eastAsia="仿宋"/>
          <w:b/>
          <w:bCs/>
          <w:sz w:val="32"/>
          <w:szCs w:val="32"/>
        </w:rPr>
      </w:pPr>
      <w:r>
        <w:rPr>
          <w:rFonts w:hint="eastAsia" w:eastAsia="仿宋"/>
          <w:b/>
          <w:bCs/>
          <w:sz w:val="32"/>
          <w:szCs w:val="32"/>
        </w:rPr>
        <w:t>（二）实施目的及支持方向。</w:t>
      </w:r>
    </w:p>
    <w:p>
      <w:pPr>
        <w:ind w:firstLine="640" w:firstLineChars="200"/>
        <w:jc w:val="left"/>
        <w:rPr>
          <w:rFonts w:eastAsia="仿宋"/>
          <w:sz w:val="32"/>
          <w:szCs w:val="32"/>
        </w:rPr>
      </w:pPr>
      <w:r>
        <w:rPr>
          <w:rFonts w:hint="eastAsia" w:eastAsia="仿宋"/>
          <w:sz w:val="32"/>
          <w:szCs w:val="32"/>
        </w:rPr>
        <w:t>1. 进一步改善农村学生营养状况，提高学生健康水平，增强青少年身体素质，加快农村教育发展，促进教育公平。</w:t>
      </w:r>
    </w:p>
    <w:p>
      <w:pPr>
        <w:ind w:firstLine="640" w:firstLineChars="200"/>
        <w:jc w:val="left"/>
        <w:rPr>
          <w:rFonts w:eastAsia="仿宋"/>
          <w:sz w:val="32"/>
          <w:szCs w:val="32"/>
        </w:rPr>
      </w:pPr>
      <w:r>
        <w:rPr>
          <w:rFonts w:hint="eastAsia" w:eastAsia="仿宋"/>
          <w:sz w:val="32"/>
          <w:szCs w:val="32"/>
        </w:rPr>
        <w:t>2. 减轻家庭负担，促进教育公平。</w:t>
      </w:r>
    </w:p>
    <w:p>
      <w:pPr>
        <w:ind w:firstLine="640" w:firstLineChars="200"/>
        <w:jc w:val="left"/>
        <w:rPr>
          <w:rFonts w:eastAsia="仿宋"/>
          <w:sz w:val="32"/>
          <w:szCs w:val="32"/>
        </w:rPr>
      </w:pPr>
      <w:r>
        <w:rPr>
          <w:rFonts w:hint="eastAsia" w:eastAsia="仿宋"/>
          <w:sz w:val="32"/>
          <w:szCs w:val="32"/>
        </w:rPr>
        <w:t>3．学生营养餐分析评价申报内容是与实际相符，申报目标合理可行。</w:t>
      </w:r>
    </w:p>
    <w:p>
      <w:pPr>
        <w:adjustRightInd w:val="0"/>
        <w:snapToGrid w:val="0"/>
        <w:spacing w:line="578" w:lineRule="exact"/>
        <w:ind w:firstLine="720"/>
        <w:rPr>
          <w:rFonts w:eastAsia="仿宋"/>
          <w:b/>
          <w:bCs/>
          <w:sz w:val="32"/>
          <w:szCs w:val="32"/>
        </w:rPr>
      </w:pPr>
      <w:r>
        <w:rPr>
          <w:rFonts w:hint="eastAsia" w:eastAsia="仿宋"/>
          <w:b/>
          <w:bCs/>
          <w:sz w:val="32"/>
          <w:szCs w:val="32"/>
        </w:rPr>
        <w:t>（三）预算安排及分配管理。</w:t>
      </w:r>
    </w:p>
    <w:p>
      <w:pPr>
        <w:adjustRightInd w:val="0"/>
        <w:snapToGrid w:val="0"/>
        <w:spacing w:line="578" w:lineRule="exact"/>
        <w:ind w:firstLine="720"/>
        <w:rPr>
          <w:rFonts w:eastAsia="仿宋"/>
          <w:sz w:val="32"/>
          <w:szCs w:val="32"/>
        </w:rPr>
      </w:pPr>
      <w:r>
        <w:rPr>
          <w:rFonts w:hint="eastAsia" w:eastAsia="仿宋"/>
          <w:sz w:val="32"/>
          <w:szCs w:val="32"/>
        </w:rPr>
        <w:t>学校成立了以支部书记、校长张林为组长的“学生营养改善计划”实施领导小组，由总务主任刘代星为副组长食堂管理员尹伟洁，各班主任以及相关责任人员为成员的“营养计划”工作领导小组。各成员分工明确，责任到人；同时我校成立了由家长、学生、教师代表共同的组成的营养餐改善计划监督小组，设置了监督举报电话，广泛接受社会监督。学校建立健全了食品安全管理制度，制定食品安全事故应急预案，并重新装框上墙，相关人员明确责任，深刻理解、认真实施；学校与食堂从业人员签订了安全目标责任书，落实责任，明确职责。</w:t>
      </w:r>
    </w:p>
    <w:p>
      <w:pPr>
        <w:adjustRightInd w:val="0"/>
        <w:snapToGrid w:val="0"/>
        <w:spacing w:line="578" w:lineRule="exact"/>
        <w:ind w:left="420" w:leftChars="200"/>
        <w:rPr>
          <w:rFonts w:eastAsia="仿宋"/>
          <w:b/>
          <w:bCs/>
          <w:sz w:val="32"/>
          <w:szCs w:val="32"/>
        </w:rPr>
      </w:pPr>
      <w:r>
        <w:rPr>
          <w:rFonts w:hint="eastAsia" w:eastAsia="仿宋"/>
          <w:b/>
          <w:bCs/>
          <w:sz w:val="32"/>
          <w:szCs w:val="32"/>
        </w:rPr>
        <w:t>（四）项目绩效目标设置。</w:t>
      </w:r>
    </w:p>
    <w:p>
      <w:pPr>
        <w:jc w:val="left"/>
        <w:rPr>
          <w:rFonts w:eastAsia="仿宋"/>
          <w:sz w:val="32"/>
          <w:szCs w:val="32"/>
        </w:rPr>
      </w:pPr>
      <w:r>
        <w:rPr>
          <w:rFonts w:hint="eastAsia" w:eastAsia="仿宋"/>
          <w:sz w:val="32"/>
          <w:szCs w:val="32"/>
        </w:rPr>
        <w:t>学校自从实施“营养午餐”以来，要求食堂工作人员早上7点到食堂为学生准备午餐，以确保学生能在中午12点00分陆续就餐，同时总务处制定了一系列的管理制度并加强监管，防止食品卫生安全事故的发生，确保“学生营养改善计划”的有效落实。另外，学校因营养早餐所产生的水、电、气等日常运行经费均纳入学校公用经费开支，确保给在校学生提供等值的优质食品。</w:t>
      </w:r>
    </w:p>
    <w:p>
      <w:pPr>
        <w:ind w:firstLine="570"/>
        <w:jc w:val="left"/>
        <w:rPr>
          <w:rFonts w:eastAsia="仿宋"/>
          <w:sz w:val="32"/>
          <w:szCs w:val="32"/>
        </w:rPr>
      </w:pPr>
      <w:r>
        <w:rPr>
          <w:rFonts w:hint="eastAsia" w:eastAsia="仿宋"/>
          <w:sz w:val="32"/>
          <w:szCs w:val="32"/>
        </w:rPr>
        <w:t>通过该项目的实施，保障了学区内进一步改善农村学生营养状况，提高农村学生健康水平，减轻学生家庭负担，加快农村教育发展，促进教育公平。</w:t>
      </w:r>
    </w:p>
    <w:p>
      <w:pPr>
        <w:adjustRightInd w:val="0"/>
        <w:snapToGrid w:val="0"/>
        <w:spacing w:line="578" w:lineRule="exact"/>
        <w:ind w:firstLine="642" w:firstLineChars="200"/>
        <w:rPr>
          <w:rFonts w:ascii="黑体" w:hAnsi="黑体" w:eastAsia="黑体" w:cs="黑体"/>
          <w:b/>
          <w:bCs/>
          <w:sz w:val="32"/>
          <w:szCs w:val="32"/>
        </w:rPr>
      </w:pPr>
      <w:r>
        <w:rPr>
          <w:rFonts w:hint="eastAsia" w:ascii="黑体" w:hAnsi="黑体" w:eastAsia="黑体" w:cs="黑体"/>
          <w:b/>
          <w:bCs/>
          <w:sz w:val="32"/>
          <w:szCs w:val="32"/>
        </w:rPr>
        <w:t>二、评价实施</w:t>
      </w:r>
    </w:p>
    <w:p>
      <w:pPr>
        <w:adjustRightInd w:val="0"/>
        <w:snapToGrid w:val="0"/>
        <w:spacing w:line="578" w:lineRule="exact"/>
        <w:ind w:firstLine="720"/>
        <w:rPr>
          <w:rFonts w:eastAsia="仿宋"/>
          <w:b/>
          <w:bCs/>
          <w:sz w:val="32"/>
          <w:szCs w:val="32"/>
        </w:rPr>
      </w:pPr>
      <w:r>
        <w:rPr>
          <w:rFonts w:hint="eastAsia" w:eastAsia="仿宋"/>
          <w:b/>
          <w:bCs/>
          <w:sz w:val="32"/>
          <w:szCs w:val="32"/>
        </w:rPr>
        <w:t>（一）评价目的。</w:t>
      </w:r>
    </w:p>
    <w:p>
      <w:pPr>
        <w:adjustRightInd w:val="0"/>
        <w:snapToGrid w:val="0"/>
        <w:spacing w:line="578" w:lineRule="exact"/>
        <w:ind w:firstLine="720"/>
        <w:rPr>
          <w:rFonts w:eastAsia="仿宋"/>
          <w:sz w:val="32"/>
          <w:szCs w:val="32"/>
        </w:rPr>
      </w:pPr>
      <w:r>
        <w:rPr>
          <w:rFonts w:hint="eastAsia" w:eastAsia="仿宋"/>
          <w:sz w:val="32"/>
          <w:szCs w:val="32"/>
        </w:rPr>
        <w:t>为了提高学生健康水平，增强青少年身体素质的客观需求，农村义务教育学生营养膳食补助标准为5元／人.天，190天的标准分级承担。2024年底金江中小学有学生396人，按区级财政配套资金标准，区级财政需配套资金0.21775元乘396人乘190天=1.63万元。已经在年初预算中安排到位。</w:t>
      </w:r>
    </w:p>
    <w:p>
      <w:pPr>
        <w:adjustRightInd w:val="0"/>
        <w:snapToGrid w:val="0"/>
        <w:spacing w:line="578" w:lineRule="exact"/>
        <w:ind w:firstLine="642" w:firstLineChars="200"/>
        <w:rPr>
          <w:rFonts w:eastAsia="仿宋"/>
          <w:b/>
          <w:bCs/>
          <w:sz w:val="32"/>
          <w:szCs w:val="32"/>
        </w:rPr>
      </w:pPr>
      <w:r>
        <w:rPr>
          <w:rFonts w:hint="eastAsia" w:eastAsia="仿宋"/>
          <w:b/>
          <w:bCs/>
          <w:sz w:val="32"/>
          <w:szCs w:val="32"/>
        </w:rPr>
        <w:t>（二）预设问题及评价重点。</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2024年年初收到学生营养膳食补助中央拨付资金30.09万元；省级资金5.0万元，市级资金0.88万元，区级配套资金1.63万元，上年结转15.53元，共计53.13万元，实际支付26.87万元，结转区级配套资金26.26万元到2025年继续使用。</w:t>
      </w:r>
    </w:p>
    <w:p>
      <w:pPr>
        <w:adjustRightInd w:val="0"/>
        <w:snapToGrid w:val="0"/>
        <w:spacing w:line="578" w:lineRule="exact"/>
        <w:ind w:firstLine="642" w:firstLineChars="200"/>
        <w:rPr>
          <w:rFonts w:eastAsia="仿宋"/>
          <w:b/>
          <w:bCs/>
          <w:sz w:val="32"/>
          <w:szCs w:val="32"/>
        </w:rPr>
      </w:pPr>
      <w:r>
        <w:rPr>
          <w:rFonts w:hint="eastAsia" w:eastAsia="仿宋"/>
          <w:b/>
          <w:bCs/>
          <w:sz w:val="32"/>
          <w:szCs w:val="32"/>
        </w:rPr>
        <w:t>（三）评价选点。</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本次营养餐绩效评价报告旨在全面、准确地评估我们所提供的营养餐服务的质量、效果及客户满意度，以便进一步完善我们的服务，满足广大用户的需求。</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在服务质量方面，我们始终坚持以学生健康为首要目标，精选优质食材，科学搭配营养，确保每一份营养餐都能达到营养均衡、口感美味的要求。同时，我们还严格把控生产流程，确保食品卫生安全，为用户提供安全、可靠的餐饮服务。</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在效果评估方面，通过收集学生的反馈意见和身体状况改善情况，我们发现，绝大多数学生对营养餐的口味和营养价值表示满意，同时，也有部分用户反映营养餐对他们的身体健康产生了积极的影响，如体重减轻、精力充沛等。这些数据充分证明了我们的营养餐在改善学生身体健康方面的积极作用。</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在客户满意度方面，我们通过问卷调查和电话回访的方式，了解到家长和学生对我们营养餐的满意度普遍较高，但也有部分用户提出了一些宝贵的意见和建议，如增加菜品种类等。我们将认真倾听用户的声音，不断改进和优化我们的服务。</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综上所述，本次营养餐绩效评价报告显示，我们的学生营养餐服务在质量、效果和客户满意度方面均取得了较为满意的成绩。但同时，我们也意识到仍存在一些不足和需要改进的地方。未来，我们将继续努力，不断提升服务质量，满足学生健康成长需求，为学生提供更加优质、营养丰富的餐饮服务。</w:t>
      </w:r>
    </w:p>
    <w:p>
      <w:pPr>
        <w:widowControl/>
        <w:adjustRightInd w:val="0"/>
        <w:snapToGrid w:val="0"/>
        <w:spacing w:after="160" w:line="578" w:lineRule="exact"/>
        <w:ind w:left="640"/>
        <w:contextualSpacing/>
        <w:jc w:val="left"/>
        <w:rPr>
          <w:rFonts w:ascii="方正仿宋_GB2312" w:hAnsi="方正仿宋_GB2312" w:eastAsia="方正仿宋_GB2312" w:cs="方正仿宋_GB2312"/>
          <w:b/>
          <w:bCs/>
          <w:sz w:val="32"/>
          <w:szCs w:val="32"/>
          <w:lang w:val="zh-CN"/>
        </w:rPr>
      </w:pPr>
      <w:r>
        <w:rPr>
          <w:rFonts w:hint="eastAsia" w:eastAsia="仿宋"/>
          <w:b/>
          <w:bCs/>
          <w:sz w:val="32"/>
          <w:szCs w:val="32"/>
        </w:rPr>
        <w:t>（四）评价方法。</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学校通过学生健康监测数据，食堂运营记录（如采购清单、库存记录、成本报表）、家长与学生满意度调查、食品安全检查记录和第三方审计报告等对学生营养餐项目进行绩效评价。</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学生营养餐作为保障学生健康成长的重要措施，其质量与管理水平直接关系到学生的营养摄入与健康状况。为确保学生营养餐项目的高效运行与持续优化，每学年进行一次全面评价，同时辅以不定期抽查。学校建立有效的反馈机制，确保评价结果及时传达给相关部门和个人，并鼓励双向沟通。学校采用问卷调查、现场检查、定期审计、信息化管理系统等多种方式收集数据。</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明确绩效评价的总体目标，即促进学生营养均衡、提升餐饮服务质量、增强食品安全管理、提高资金使用效率等。</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金江中小学学生营养质量：包括食材种类多样性、营养素配比合理性、是否符合学生生长发育需求等。</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营养餐食品安全：食材采购渠道安全、加工制作规范、储存与分发过程卫生等。</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营养餐服务质量：供餐准时性、菜品口味与满意度、服务人员态度等。</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营养餐成本控制与效率：预算编制合理性、资金使用情况、食材浪费率、管理成本等。</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营养餐社会影响：家长满意度、学生健康改善情况、社会舆论评价等。</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将各维度进一步细化为具体可量化的指标，如“每餐蛋白质摄入量占比”、“食材新鲜度检查频次”、“投诉处理及时率”等。</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建立长效监督机制，包括定期复审、随机抽查、公众参与等，确保评价工作的连续性和有效性。</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根据评价结果和反馈意见，不断优化评价指标体系、完善数据收集与分析方法、强化监督与管理措施，形成持续改进的良性循环。</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定期公布学生营养餐项目的相关信息，包括政策文件、资金使用、评价结果等，提高透明度。</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鼓励家长、学生、社会组织等多方参与评价过程，收集广泛意见，增强社会监督力量。</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建立畅通的沟通渠道，及时回应公众关切，增强公众对学生营养餐项目的信任与支持。</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综上所述，学生营养餐绩效评价方法的实施是一个系统工程，需要政府、学校、社会等多方共同努力，通过科学构建指标体系、精准收集与分析数据、严格实施评价、积极诊断问题并提出改进建议、及时反馈与应用结果、持续监督与改进以及增强公众参与与透明度等措施，不断提升学生营养餐项目的质量和效益。</w:t>
      </w:r>
    </w:p>
    <w:p>
      <w:pPr>
        <w:widowControl/>
        <w:adjustRightInd w:val="0"/>
        <w:snapToGrid w:val="0"/>
        <w:spacing w:line="578" w:lineRule="exact"/>
        <w:ind w:firstLine="642" w:firstLineChars="200"/>
        <w:contextualSpacing/>
        <w:jc w:val="left"/>
        <w:rPr>
          <w:rFonts w:eastAsia="仿宋"/>
          <w:b/>
          <w:bCs/>
          <w:sz w:val="32"/>
          <w:szCs w:val="32"/>
        </w:rPr>
      </w:pPr>
      <w:r>
        <w:rPr>
          <w:rFonts w:hint="eastAsia" w:eastAsia="仿宋"/>
          <w:b/>
          <w:bCs/>
          <w:sz w:val="32"/>
          <w:szCs w:val="32"/>
        </w:rPr>
        <w:t>（五）评价组织。</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学校成立了以支部书记、校长张林为组长的“学生营养改善计划”实施领导小组，由总务主任刘代星为副组长，食堂管理员尹伟洁，各班主任以及相关责任人员为成员的“营养计划”工作领导小组。各成员分工明确，责任到人。同时我校成立了由家长、学生、教师代表共同的组成的营养餐改善计划监督小组，设置了监督举报电话，广泛接受社会监督。</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2. 学校建立健全了食品安全管理制度、“学生营养改善计划”规章制度及制定食品安全事故应急预案，并新装框上墙，相关人员明确责任，深刻理解、认真实施。</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3. 学校与食堂管理人员，采购人员、加工人员、库管人员签订了安全目标责任书，落实责任，明确职责。</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4. 认真组织，把好食品安全关。</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学校严格按照上级要求，认真组织，规范管理、严格把关。</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1）采购、出入库关。安排专人负责采购、对于不合格的食品及三无产品坚决不采购。2024年以来，营养餐材料采购意向公开、采购方式、采购程序、合同管理、履约验收等严格按照规定执行。进出库原材料必须由采购员、库管员、食堂负责人三方签字。</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（2）留样关、每餐由专人负责留样，做好记录，确保安全。</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（3）加工关：对食堂从业人员进行岗前培训，持证上岗。要求从业人员严格按照操作流程规范操作加工。</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（4）营养关：根据学生实际，确定供餐食谱。并在每周一将本周食谱在食堂橱窗公示。食谱要求：营养均衡，荤素搭配。食堂要严格按照食谱采购，加工制作，让学生吃的放心。</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（5）发放关：各班主任负责营养餐学生的实名信息登记工作。学校及时收集信息，做好营养餐学生人数统计、营养餐发放登记，学生饮食用情况统计。对于发放中出现的异常问题及时上报学校。</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（6）回收关：要求各班对营养餐垃圾分类回收，存放于指定地点，并做好记录。</w:t>
      </w:r>
    </w:p>
    <w:p>
      <w:pPr>
        <w:adjustRightInd w:val="0"/>
        <w:snapToGrid w:val="0"/>
        <w:spacing w:line="578" w:lineRule="exact"/>
        <w:ind w:firstLine="720"/>
        <w:rPr>
          <w:rFonts w:ascii="黑体" w:hAnsi="黑体" w:eastAsia="黑体" w:cs="方正仿宋_GB2312"/>
          <w:b/>
          <w:bCs/>
          <w:sz w:val="32"/>
          <w:szCs w:val="32"/>
        </w:rPr>
      </w:pPr>
      <w:r>
        <w:rPr>
          <w:rFonts w:hint="eastAsia" w:ascii="黑体" w:hAnsi="黑体" w:eastAsia="黑体" w:cs="方正仿宋_GB2312"/>
          <w:b/>
          <w:bCs/>
          <w:sz w:val="32"/>
          <w:szCs w:val="32"/>
        </w:rPr>
        <w:t>三、绩效分析</w:t>
      </w:r>
    </w:p>
    <w:p>
      <w:pPr>
        <w:spacing w:line="578" w:lineRule="exact"/>
        <w:ind w:firstLine="640"/>
        <w:rPr>
          <w:rFonts w:eastAsia="仿宋"/>
          <w:sz w:val="32"/>
          <w:szCs w:val="32"/>
        </w:rPr>
      </w:pPr>
      <w:r>
        <w:rPr>
          <w:rFonts w:hint="eastAsia" w:eastAsia="仿宋"/>
          <w:sz w:val="32"/>
          <w:szCs w:val="32"/>
        </w:rPr>
        <w:t>根据项目预算绩效评价指标体系“通用指标”“专用指标”“个性指标”涉及二、三级指标进行逐项绩效分析并评分。</w:t>
      </w:r>
    </w:p>
    <w:p>
      <w:pPr>
        <w:spacing w:line="578" w:lineRule="exact"/>
        <w:ind w:firstLine="640"/>
        <w:rPr>
          <w:rFonts w:eastAsia="仿宋"/>
          <w:b/>
          <w:bCs/>
          <w:sz w:val="32"/>
          <w:szCs w:val="32"/>
        </w:rPr>
      </w:pPr>
      <w:r>
        <w:rPr>
          <w:rFonts w:hint="eastAsia" w:eastAsia="仿宋"/>
          <w:b/>
          <w:bCs/>
          <w:sz w:val="32"/>
          <w:szCs w:val="32"/>
        </w:rPr>
        <w:t>（一）通用指标绩效分析。</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1.项目决策。学生营养餐作为保障学生健康成长的重要措施，其质量与管理水平直接关系到学生的营养摄入与健康状况。为确保学生营养餐项目的高效运行与持续优化，每学年进行一次全面评价，同时辅以不定期抽查。学校建立有效的反馈机制，确保评价结果及时传达给相关部门和个人，并鼓励双向沟通。学校采用问卷调查、现场检查、定期审计、信息化管理系统等多种方式收集数据。</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明确绩效评价的总体目标，即促进学生营养均衡、提升餐饮服务质量、增强食品安全管理、提高资金使用效率等。</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2.项目管理。学校成立了以支部书记、校长张林为组长的“学生营养改善计划”实施领导小组，总务主任刘代星为副组长。食堂管理员尹伟洁，各班主任以及相关责任人员为成员的“营养计划”工作领导小组。各成员分工明确，责任到人。同时我校成立了由家长、学生、教师代表共同的组成的营养餐改善计划监督小组，设置了监督举报电话，广泛接受社会监督。</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学校建立健全了食品安全管理制度，制定食品安全事故应急预案，并重新装框上墙，相关人员明确责任，深刻理解、认真实施。</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学校与食堂从业人员签订了安全目标责任书，落实责任，明确职责。</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3.项目实施。坚持严格执行营养餐安全监督检查制度，安全监督负责人或领导小组要坚持每天对营养餐安全情况进行监督检查，确保不符合质量要求的食物不进校、不食用，确保学生身体健康和饮食安全。</w:t>
      </w:r>
    </w:p>
    <w:p>
      <w:pPr>
        <w:widowControl/>
        <w:adjustRightInd w:val="0"/>
        <w:snapToGrid w:val="0"/>
        <w:spacing w:line="578" w:lineRule="exact"/>
        <w:ind w:firstLine="640" w:firstLineChars="200"/>
        <w:contextualSpacing/>
        <w:jc w:val="left"/>
        <w:rPr>
          <w:rFonts w:ascii="方正仿宋_GB2312" w:hAnsi="方正仿宋_GB2312" w:eastAsia="方正仿宋_GB2312" w:cs="方正仿宋_GB2312"/>
          <w:sz w:val="32"/>
          <w:szCs w:val="32"/>
          <w:lang w:val="zh-CN"/>
        </w:rPr>
      </w:pPr>
      <w:r>
        <w:rPr>
          <w:rFonts w:hint="eastAsia" w:eastAsia="仿宋"/>
          <w:sz w:val="32"/>
          <w:szCs w:val="32"/>
        </w:rPr>
        <w:t>4.项目结果。学校自从实施“营养午餐”以来，要求食堂工作人员早上7点到食堂为学生准备午餐，以确保学生能在中午12点00分陆续就餐，同时总务处制定了一系列的管理制度并加强监管，防止食品卫生安全事故的发生，确保“学生营养改善计划”的有效落实。另外，学校因营养早餐所产生的水、电、气等日常运行经费均纳入学校公用经费开支，确保给在校学生提供等值的优质食品。</w:t>
      </w:r>
    </w:p>
    <w:p>
      <w:pPr>
        <w:widowControl/>
        <w:adjustRightInd w:val="0"/>
        <w:snapToGrid w:val="0"/>
        <w:spacing w:line="578" w:lineRule="exact"/>
        <w:ind w:firstLine="642" w:firstLineChars="200"/>
        <w:contextualSpacing/>
        <w:jc w:val="left"/>
        <w:rPr>
          <w:rFonts w:eastAsia="仿宋"/>
          <w:b/>
          <w:bCs/>
          <w:sz w:val="32"/>
          <w:szCs w:val="32"/>
        </w:rPr>
      </w:pPr>
      <w:r>
        <w:rPr>
          <w:rFonts w:hint="eastAsia" w:eastAsia="仿宋"/>
          <w:b/>
          <w:bCs/>
          <w:sz w:val="32"/>
          <w:szCs w:val="32"/>
        </w:rPr>
        <w:t>（二）专用指标绩效分析。</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严格按规定确定享受对象，认真审核享受人数，建立健全学生实名制档案并报乡镇教体办和仁和区教体局审查备案，对学生人数、补助标准、受益人次等情况进行动态管理，严禁虚报、漏报学生数，严防冒领学生营养食品。</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1.产业发展。大力宣传实施农村义务教育学生营养改善计划的重大意义，使党和政府的惠民政策家喻户晓，深入人心。</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2.民生保障。保障了2024年度金江中小学396名学生营养餐费用的正常支付；保障学生的健康成长和学习需求；是实现城乡教育均衡发展的需要；是利国利民的大好事。通过该项目的实施，力争使钒钛园区相关部门领导和社会对金江中小学项目实施的满意度达到满意及以上。</w:t>
      </w:r>
    </w:p>
    <w:p>
      <w:pPr>
        <w:ind w:firstLine="640" w:firstLineChars="200"/>
        <w:rPr>
          <w:rFonts w:eastAsia="仿宋"/>
          <w:sz w:val="32"/>
          <w:szCs w:val="32"/>
        </w:rPr>
      </w:pPr>
      <w:r>
        <w:rPr>
          <w:rFonts w:hint="eastAsia" w:eastAsia="仿宋"/>
          <w:sz w:val="32"/>
          <w:szCs w:val="32"/>
        </w:rPr>
        <w:t>3.基础设施。学校在原有设施的基础上,营养餐储藏间及营养餐加工间，安装了实时监控设施，保障了学生营养改善计划的顺利进行。</w:t>
      </w:r>
    </w:p>
    <w:p>
      <w:pPr>
        <w:spacing w:line="578" w:lineRule="exact"/>
        <w:ind w:firstLine="640" w:firstLineChars="200"/>
        <w:rPr>
          <w:rFonts w:eastAsia="仿宋"/>
          <w:sz w:val="32"/>
          <w:szCs w:val="32"/>
        </w:rPr>
      </w:pPr>
      <w:r>
        <w:rPr>
          <w:rFonts w:hint="eastAsia" w:eastAsia="仿宋"/>
          <w:sz w:val="32"/>
          <w:szCs w:val="32"/>
        </w:rPr>
        <w:t>4.行政运转。建立健全学生营养改善计划实施方案、领导机构、管理制度、管理人员、工作人员，制定食品安全事故应急预案，并定期组织演练，确保学生食品安全、营养、卫生。</w:t>
      </w:r>
    </w:p>
    <w:p>
      <w:pPr>
        <w:spacing w:line="578" w:lineRule="exact"/>
        <w:ind w:firstLine="640"/>
        <w:rPr>
          <w:rFonts w:ascii="方正仿宋_GB2312" w:hAnsi="方正仿宋_GB2312" w:eastAsia="方正仿宋_GB2312" w:cs="方正仿宋_GB2312"/>
          <w:b/>
          <w:bCs/>
          <w:kern w:val="0"/>
          <w:sz w:val="32"/>
          <w:szCs w:val="32"/>
        </w:rPr>
      </w:pPr>
      <w:r>
        <w:rPr>
          <w:rFonts w:hint="eastAsia" w:eastAsia="仿宋"/>
          <w:b/>
          <w:bCs/>
          <w:sz w:val="32"/>
          <w:szCs w:val="32"/>
        </w:rPr>
        <w:t>（三）个性指标绩效分析。</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金江中小学严格按照上级要求，认真组织，规范管理、严格把关。</w:t>
      </w:r>
    </w:p>
    <w:p>
      <w:pPr>
        <w:widowControl/>
        <w:numPr>
          <w:ilvl w:val="0"/>
          <w:numId w:val="2"/>
        </w:numPr>
        <w:adjustRightInd w:val="0"/>
        <w:snapToGrid w:val="0"/>
        <w:spacing w:after="160" w:line="578" w:lineRule="exact"/>
        <w:ind w:firstLine="640" w:firstLineChars="200"/>
        <w:contextualSpacing/>
        <w:jc w:val="left"/>
        <w:rPr>
          <w:rFonts w:eastAsia="仿宋"/>
          <w:sz w:val="32"/>
          <w:szCs w:val="32"/>
        </w:rPr>
      </w:pPr>
      <w:r>
        <w:rPr>
          <w:rFonts w:hint="eastAsia" w:eastAsia="仿宋"/>
          <w:sz w:val="32"/>
          <w:szCs w:val="32"/>
        </w:rPr>
        <w:t>采购、出入库关：安排专人负责采购、对于不合格的食品及三无产品坚决不采购。2024年以来，营养餐材料采购意向公开、采购方式、采购程序、合同管理、履约验收等严格按照规定执行。进出库原材料必须由采购员、库管员、食堂负责人三方签字。</w:t>
      </w:r>
    </w:p>
    <w:p>
      <w:pPr>
        <w:widowControl/>
        <w:numPr>
          <w:ilvl w:val="0"/>
          <w:numId w:val="2"/>
        </w:numPr>
        <w:adjustRightInd w:val="0"/>
        <w:snapToGrid w:val="0"/>
        <w:spacing w:after="160" w:line="578" w:lineRule="exact"/>
        <w:ind w:firstLine="640" w:firstLineChars="200"/>
        <w:contextualSpacing/>
        <w:jc w:val="left"/>
        <w:rPr>
          <w:rFonts w:eastAsia="仿宋"/>
          <w:sz w:val="32"/>
          <w:szCs w:val="32"/>
        </w:rPr>
      </w:pPr>
      <w:r>
        <w:rPr>
          <w:rFonts w:hint="eastAsia" w:eastAsia="仿宋"/>
          <w:sz w:val="32"/>
          <w:szCs w:val="32"/>
        </w:rPr>
        <w:t>留样关：每餐由专人负责留样，做好记录，确保安全。</w:t>
      </w:r>
    </w:p>
    <w:p>
      <w:pPr>
        <w:widowControl/>
        <w:numPr>
          <w:ilvl w:val="0"/>
          <w:numId w:val="2"/>
        </w:numPr>
        <w:adjustRightInd w:val="0"/>
        <w:snapToGrid w:val="0"/>
        <w:spacing w:after="160" w:line="578" w:lineRule="exact"/>
        <w:ind w:firstLine="640" w:firstLineChars="200"/>
        <w:contextualSpacing/>
        <w:jc w:val="left"/>
        <w:rPr>
          <w:rFonts w:eastAsia="仿宋"/>
          <w:sz w:val="32"/>
          <w:szCs w:val="32"/>
        </w:rPr>
      </w:pPr>
      <w:r>
        <w:rPr>
          <w:rFonts w:hint="eastAsia" w:eastAsia="仿宋"/>
          <w:sz w:val="32"/>
          <w:szCs w:val="32"/>
        </w:rPr>
        <w:t>加工关：对食堂从业人员进行岗前培训，持证上岗。要求从业人员严格按照操作流程规范操作加工。</w:t>
      </w:r>
    </w:p>
    <w:p>
      <w:pPr>
        <w:widowControl/>
        <w:numPr>
          <w:ilvl w:val="0"/>
          <w:numId w:val="2"/>
        </w:numPr>
        <w:adjustRightInd w:val="0"/>
        <w:snapToGrid w:val="0"/>
        <w:spacing w:after="160" w:line="578" w:lineRule="exact"/>
        <w:ind w:firstLine="640" w:firstLineChars="200"/>
        <w:contextualSpacing/>
        <w:jc w:val="left"/>
        <w:rPr>
          <w:rFonts w:eastAsia="仿宋"/>
          <w:sz w:val="32"/>
          <w:szCs w:val="32"/>
        </w:rPr>
      </w:pPr>
      <w:r>
        <w:rPr>
          <w:rFonts w:hint="eastAsia" w:eastAsia="仿宋"/>
          <w:sz w:val="32"/>
          <w:szCs w:val="32"/>
        </w:rPr>
        <w:t>营养关：根据学生实际，确定供餐食谱。并在每周一将本周食谱在食堂橱窗公示。食谱要求：营养均衡，荤素搭配。食堂要严格按照食谱采购，加工制作，让学生吃的放心。</w:t>
      </w:r>
    </w:p>
    <w:p>
      <w:pPr>
        <w:widowControl/>
        <w:numPr>
          <w:ilvl w:val="0"/>
          <w:numId w:val="2"/>
        </w:numPr>
        <w:adjustRightInd w:val="0"/>
        <w:snapToGrid w:val="0"/>
        <w:spacing w:after="160" w:line="578" w:lineRule="exact"/>
        <w:ind w:firstLine="640" w:firstLineChars="200"/>
        <w:contextualSpacing/>
        <w:jc w:val="left"/>
        <w:rPr>
          <w:rFonts w:eastAsia="仿宋"/>
          <w:sz w:val="32"/>
          <w:szCs w:val="32"/>
        </w:rPr>
      </w:pPr>
      <w:r>
        <w:rPr>
          <w:rFonts w:hint="eastAsia" w:eastAsia="仿宋"/>
          <w:sz w:val="32"/>
          <w:szCs w:val="32"/>
        </w:rPr>
        <w:t>发放关：各班主任负责营养餐学生的实名信息登记工作。学校及时收集信息，做好营养餐学生人数统计、营养餐发放登记，学生饮食用情况统计。对于发放中出现的异常问题及时上报学校。</w:t>
      </w:r>
    </w:p>
    <w:p>
      <w:pPr>
        <w:adjustRightInd w:val="0"/>
        <w:snapToGrid w:val="0"/>
        <w:spacing w:line="578" w:lineRule="exact"/>
        <w:ind w:firstLine="720"/>
        <w:rPr>
          <w:rFonts w:ascii="黑体" w:hAnsi="黑体" w:eastAsia="黑体" w:cs="黑体"/>
          <w:b/>
          <w:bCs/>
          <w:sz w:val="32"/>
          <w:szCs w:val="32"/>
          <w:lang w:val="zh-CN"/>
        </w:rPr>
      </w:pPr>
      <w:r>
        <w:rPr>
          <w:rFonts w:hint="eastAsia" w:ascii="黑体" w:hAnsi="黑体" w:eastAsia="黑体" w:cs="黑体"/>
          <w:b/>
          <w:bCs/>
          <w:kern w:val="0"/>
          <w:sz w:val="32"/>
          <w:szCs w:val="32"/>
        </w:rPr>
        <w:t>四、</w:t>
      </w:r>
      <w:r>
        <w:rPr>
          <w:rFonts w:hint="eastAsia" w:ascii="黑体" w:hAnsi="黑体" w:eastAsia="黑体" w:cs="黑体"/>
          <w:b/>
          <w:bCs/>
          <w:kern w:val="0"/>
          <w:sz w:val="32"/>
          <w:szCs w:val="32"/>
          <w:lang w:val="zh-CN"/>
        </w:rPr>
        <w:t>评价结论。</w:t>
      </w:r>
    </w:p>
    <w:p>
      <w:pPr>
        <w:widowControl/>
        <w:adjustRightInd w:val="0"/>
        <w:snapToGrid w:val="0"/>
        <w:spacing w:line="578" w:lineRule="exact"/>
        <w:ind w:firstLine="640" w:firstLineChars="200"/>
        <w:contextualSpacing/>
        <w:jc w:val="left"/>
        <w:rPr>
          <w:rFonts w:eastAsia="仿宋"/>
          <w:sz w:val="32"/>
          <w:szCs w:val="32"/>
        </w:rPr>
      </w:pPr>
      <w:r>
        <w:rPr>
          <w:rFonts w:hint="eastAsia" w:eastAsia="仿宋"/>
          <w:sz w:val="32"/>
          <w:szCs w:val="32"/>
        </w:rPr>
        <w:t>实施农村义务教育学生营养改善计划及“三免一补”政策是落实《国家中长期教育改革和发展纲要（2010——2020）》的具体体现，按照一定标准分级承担资金落实了《四川省城乡义务教育补助经费管理办法》的文件精神。我校自从实施了“营养午餐”以来，一方面落实了相关要求，提高了学生的身体健康水平，增强了学生的身体素质，同时也减轻了学生家长的负担（中午无需为学生准备午餐），赢得了广大家长和学生的好评。落实“三免一补”政策，让学生及家长享受到了发展成果的红利，取得了良好的社会效益。营养餐计划的实施深得民心，得到社会认可，家长好评，使学生的健康成长得到了保障，拉近了学校与家庭的距离，使党的惠民政策落到实处，促进了和谐社会的构建。</w:t>
      </w:r>
    </w:p>
    <w:p>
      <w:pPr>
        <w:adjustRightInd w:val="0"/>
        <w:snapToGrid w:val="0"/>
        <w:spacing w:line="578" w:lineRule="exact"/>
        <w:ind w:firstLine="720"/>
        <w:rPr>
          <w:rFonts w:ascii="黑体" w:hAnsi="黑体" w:eastAsia="黑体" w:cs="黑体"/>
          <w:b/>
          <w:bCs/>
          <w:kern w:val="0"/>
          <w:sz w:val="32"/>
          <w:szCs w:val="32"/>
          <w:lang w:val="zh-CN"/>
        </w:rPr>
      </w:pPr>
      <w:r>
        <w:rPr>
          <w:rFonts w:hint="eastAsia" w:ascii="黑体" w:hAnsi="黑体" w:eastAsia="黑体" w:cs="黑体"/>
          <w:b/>
          <w:bCs/>
          <w:kern w:val="0"/>
          <w:sz w:val="32"/>
          <w:szCs w:val="32"/>
        </w:rPr>
        <w:t>五、</w:t>
      </w:r>
      <w:r>
        <w:rPr>
          <w:rFonts w:hint="eastAsia" w:ascii="黑体" w:hAnsi="黑体" w:eastAsia="黑体" w:cs="黑体"/>
          <w:b/>
          <w:bCs/>
          <w:kern w:val="0"/>
          <w:sz w:val="32"/>
          <w:szCs w:val="32"/>
          <w:lang w:val="zh-CN"/>
        </w:rPr>
        <w:t>存在</w:t>
      </w:r>
      <w:r>
        <w:rPr>
          <w:rFonts w:hint="eastAsia" w:ascii="黑体" w:hAnsi="黑体" w:eastAsia="黑体" w:cs="黑体"/>
          <w:b/>
          <w:bCs/>
          <w:kern w:val="0"/>
          <w:sz w:val="32"/>
          <w:szCs w:val="32"/>
        </w:rPr>
        <w:t>主要</w:t>
      </w:r>
      <w:r>
        <w:rPr>
          <w:rFonts w:hint="eastAsia" w:ascii="黑体" w:hAnsi="黑体" w:eastAsia="黑体" w:cs="黑体"/>
          <w:b/>
          <w:bCs/>
          <w:kern w:val="0"/>
          <w:sz w:val="32"/>
          <w:szCs w:val="32"/>
          <w:lang w:val="zh-CN"/>
        </w:rPr>
        <w:t>问题</w:t>
      </w:r>
    </w:p>
    <w:p>
      <w:pPr>
        <w:adjustRightInd w:val="0"/>
        <w:snapToGrid w:val="0"/>
        <w:spacing w:line="578" w:lineRule="exact"/>
        <w:ind w:firstLine="720"/>
        <w:rPr>
          <w:rFonts w:eastAsia="仿宋"/>
          <w:sz w:val="32"/>
          <w:szCs w:val="32"/>
        </w:rPr>
      </w:pPr>
      <w:r>
        <w:rPr>
          <w:rFonts w:hint="eastAsia" w:eastAsia="仿宋"/>
          <w:sz w:val="32"/>
          <w:szCs w:val="32"/>
        </w:rPr>
        <w:t>营养餐补助标准以现在的物价来说偏低。根据现市场行情，现如今营养餐的原材料如：肉类、菜类、米面油等物价上涨，加上营养餐制作、仓储、管理等相关成本，5元的标准实难达到增强学生营养的目的。</w:t>
      </w:r>
    </w:p>
    <w:p>
      <w:pPr>
        <w:adjustRightInd w:val="0"/>
        <w:snapToGrid w:val="0"/>
        <w:spacing w:line="578" w:lineRule="exact"/>
        <w:ind w:firstLine="720"/>
        <w:rPr>
          <w:rFonts w:ascii="黑体" w:hAnsi="黑体" w:eastAsia="黑体" w:cs="黑体"/>
          <w:b/>
          <w:bCs/>
          <w:kern w:val="0"/>
          <w:sz w:val="32"/>
          <w:szCs w:val="32"/>
        </w:rPr>
      </w:pPr>
      <w:r>
        <w:rPr>
          <w:rFonts w:hint="eastAsia" w:ascii="黑体" w:hAnsi="黑体" w:eastAsia="黑体" w:cs="黑体"/>
          <w:b/>
          <w:bCs/>
          <w:kern w:val="0"/>
          <w:sz w:val="32"/>
          <w:szCs w:val="32"/>
        </w:rPr>
        <w:t>六、相关建议</w:t>
      </w:r>
    </w:p>
    <w:p>
      <w:pPr>
        <w:spacing w:line="580" w:lineRule="exact"/>
        <w:ind w:firstLine="640" w:firstLineChars="200"/>
        <w:rPr>
          <w:rFonts w:eastAsia="仿宋"/>
          <w:sz w:val="32"/>
          <w:szCs w:val="32"/>
        </w:rPr>
      </w:pPr>
      <w:r>
        <w:rPr>
          <w:rFonts w:hint="eastAsia" w:eastAsia="仿宋"/>
          <w:sz w:val="32"/>
          <w:szCs w:val="32"/>
        </w:rPr>
        <w:t>为学校配备的工作人员应由各地方执行部门的管理人员精挑细选，选聘文化层次较高的人员去管理一线操作人员。由一线管理人员常贯彻和组织一线操作人员学习国家政策的相关文件精神，并将文件内容落实到实处。</w:t>
      </w:r>
    </w:p>
    <w:p>
      <w:pPr>
        <w:spacing w:line="600" w:lineRule="exact"/>
        <w:outlineLvl w:val="0"/>
        <w:rPr>
          <w:rFonts w:ascii="方正仿宋_GB2312" w:hAnsi="方正仿宋_GB2312" w:eastAsia="方正仿宋_GB2312" w:cs="方正仿宋_GB2312"/>
          <w:sz w:val="32"/>
          <w:szCs w:val="32"/>
        </w:rPr>
      </w:pPr>
    </w:p>
    <w:p>
      <w:pPr>
        <w:spacing w:line="578" w:lineRule="exact"/>
        <w:ind w:firstLine="640"/>
        <w:rPr>
          <w:rFonts w:eastAsia="仿宋_GB2312" w:cs="仿宋_GB2312"/>
          <w:kern w:val="0"/>
          <w:sz w:val="32"/>
          <w:szCs w:val="32"/>
        </w:rPr>
      </w:pPr>
      <w:r>
        <w:rPr>
          <w:rFonts w:hint="eastAsia" w:eastAsia="仿宋_GB2312" w:cs="仿宋_GB2312"/>
          <w:kern w:val="0"/>
          <w:sz w:val="32"/>
          <w:szCs w:val="32"/>
        </w:rPr>
        <w:t>（注：以上绩效自评报告，除涉密敏感内容外，原则上都应予以公开）</w:t>
      </w:r>
    </w:p>
    <w:p>
      <w:pPr>
        <w:spacing w:line="578" w:lineRule="exact"/>
        <w:ind w:firstLine="640"/>
        <w:rPr>
          <w:rFonts w:eastAsia="仿宋_GB2312" w:cs="仿宋_GB2312"/>
          <w:kern w:val="0"/>
          <w:sz w:val="32"/>
          <w:szCs w:val="32"/>
        </w:rPr>
      </w:pPr>
    </w:p>
    <w:p>
      <w:pPr>
        <w:spacing w:line="578" w:lineRule="exact"/>
        <w:ind w:firstLine="640"/>
        <w:rPr>
          <w:rFonts w:eastAsia="仿宋_GB2312" w:cs="仿宋_GB2312"/>
          <w:kern w:val="0"/>
          <w:sz w:val="32"/>
          <w:szCs w:val="32"/>
        </w:rPr>
      </w:pPr>
    </w:p>
    <w:p>
      <w:pPr>
        <w:spacing w:line="578" w:lineRule="exact"/>
        <w:ind w:firstLine="640"/>
        <w:rPr>
          <w:rFonts w:eastAsia="仿宋_GB2312" w:cs="仿宋_GB2312"/>
          <w:kern w:val="0"/>
          <w:sz w:val="32"/>
          <w:szCs w:val="32"/>
        </w:rPr>
      </w:pPr>
      <w:bookmarkStart w:id="92" w:name="_Toc15396618"/>
      <w:r>
        <w:rPr>
          <w:rFonts w:hint="eastAsia" w:eastAsia="仿宋_GB2312" w:cs="仿宋_GB2312"/>
          <w:kern w:val="0"/>
          <w:sz w:val="32"/>
          <w:szCs w:val="32"/>
        </w:rPr>
        <w:br w:type="page"/>
      </w:r>
    </w:p>
    <w:p>
      <w:pPr>
        <w:spacing w:line="600" w:lineRule="exact"/>
        <w:jc w:val="center"/>
        <w:outlineLvl w:val="0"/>
        <w:rPr>
          <w:rFonts w:eastAsia="黑体"/>
          <w:sz w:val="44"/>
          <w:szCs w:val="44"/>
        </w:rPr>
      </w:pPr>
      <w:bookmarkStart w:id="93" w:name="_Toc208085685"/>
      <w:bookmarkStart w:id="94" w:name="_Toc208087294"/>
      <w:r>
        <w:rPr>
          <w:rFonts w:hint="eastAsia" w:eastAsia="黑体"/>
          <w:sz w:val="44"/>
          <w:szCs w:val="44"/>
        </w:rPr>
        <w:t>第五部分附表</w:t>
      </w:r>
      <w:bookmarkEnd w:id="88"/>
      <w:bookmarkEnd w:id="92"/>
      <w:bookmarkEnd w:id="93"/>
      <w:bookmarkEnd w:id="94"/>
      <w:bookmarkStart w:id="95" w:name="_Toc15396619"/>
    </w:p>
    <w:p>
      <w:pPr>
        <w:pStyle w:val="19"/>
        <w:adjustRightInd w:val="0"/>
        <w:snapToGrid w:val="0"/>
        <w:spacing w:line="560" w:lineRule="exact"/>
        <w:rPr>
          <w:rFonts w:eastAsia="仿宋_GB2312" w:cs="仿宋_GB2312"/>
          <w:sz w:val="32"/>
          <w:szCs w:val="32"/>
        </w:rPr>
      </w:pPr>
    </w:p>
    <w:p>
      <w:pPr>
        <w:pStyle w:val="6"/>
        <w:rPr>
          <w:rFonts w:ascii="Times New Roman" w:hAnsi="Times New Roman" w:eastAsia="黑体"/>
          <w:b w:val="0"/>
        </w:rPr>
      </w:pPr>
      <w:bookmarkStart w:id="96" w:name="_Toc208085686"/>
      <w:bookmarkStart w:id="97" w:name="_Toc208087295"/>
      <w:r>
        <w:rPr>
          <w:rFonts w:hint="eastAsia" w:ascii="Times New Roman" w:hAnsi="Times New Roman" w:eastAsia="黑体"/>
          <w:b w:val="0"/>
        </w:rPr>
        <w:t>一、收入支出决算总表</w:t>
      </w:r>
      <w:bookmarkEnd w:id="95"/>
      <w:bookmarkEnd w:id="96"/>
      <w:bookmarkEnd w:id="97"/>
    </w:p>
    <w:p>
      <w:pPr>
        <w:pStyle w:val="6"/>
        <w:rPr>
          <w:rFonts w:ascii="Times New Roman" w:hAnsi="Times New Roman" w:eastAsia="黑体"/>
          <w:b w:val="0"/>
        </w:rPr>
      </w:pPr>
      <w:bookmarkStart w:id="98" w:name="_Toc208085687"/>
      <w:bookmarkStart w:id="99" w:name="_Toc15396620"/>
      <w:bookmarkStart w:id="100" w:name="_Toc208087296"/>
      <w:r>
        <w:rPr>
          <w:rFonts w:hint="eastAsia" w:ascii="Times New Roman" w:hAnsi="Times New Roman" w:eastAsia="黑体"/>
          <w:b w:val="0"/>
        </w:rPr>
        <w:t>二、收入决算表</w:t>
      </w:r>
      <w:bookmarkEnd w:id="98"/>
      <w:bookmarkEnd w:id="99"/>
      <w:bookmarkEnd w:id="100"/>
    </w:p>
    <w:p>
      <w:pPr>
        <w:pStyle w:val="6"/>
        <w:rPr>
          <w:rFonts w:ascii="Times New Roman" w:hAnsi="Times New Roman" w:eastAsia="黑体"/>
          <w:b w:val="0"/>
        </w:rPr>
      </w:pPr>
      <w:bookmarkStart w:id="101" w:name="_Toc208087297"/>
      <w:bookmarkStart w:id="102" w:name="_Toc15396621"/>
      <w:bookmarkStart w:id="103" w:name="_Toc208085688"/>
      <w:r>
        <w:rPr>
          <w:rFonts w:hint="eastAsia" w:ascii="Times New Roman" w:hAnsi="Times New Roman" w:eastAsia="黑体"/>
          <w:b w:val="0"/>
        </w:rPr>
        <w:t>三、支出决算表</w:t>
      </w:r>
      <w:bookmarkEnd w:id="101"/>
      <w:bookmarkEnd w:id="102"/>
      <w:bookmarkEnd w:id="103"/>
    </w:p>
    <w:p>
      <w:pPr>
        <w:pStyle w:val="6"/>
        <w:rPr>
          <w:rFonts w:ascii="Times New Roman" w:hAnsi="Times New Roman" w:eastAsia="黑体"/>
          <w:b w:val="0"/>
        </w:rPr>
      </w:pPr>
      <w:bookmarkStart w:id="104" w:name="_Toc208087298"/>
      <w:bookmarkStart w:id="105" w:name="_Toc15396622"/>
      <w:bookmarkStart w:id="106" w:name="_Toc208085689"/>
      <w:r>
        <w:rPr>
          <w:rFonts w:hint="eastAsia" w:ascii="Times New Roman" w:hAnsi="Times New Roman" w:eastAsia="黑体"/>
          <w:b w:val="0"/>
        </w:rPr>
        <w:t>四、财政拨款收入支出决算总表</w:t>
      </w:r>
      <w:bookmarkEnd w:id="104"/>
      <w:bookmarkEnd w:id="105"/>
      <w:bookmarkEnd w:id="106"/>
    </w:p>
    <w:p>
      <w:pPr>
        <w:pStyle w:val="6"/>
        <w:rPr>
          <w:rFonts w:ascii="Times New Roman" w:hAnsi="Times New Roman" w:eastAsia="黑体"/>
          <w:b w:val="0"/>
        </w:rPr>
      </w:pPr>
      <w:bookmarkStart w:id="107" w:name="_Toc208087299"/>
      <w:bookmarkStart w:id="108" w:name="_Toc208085690"/>
      <w:bookmarkStart w:id="109" w:name="_Toc15396623"/>
      <w:r>
        <w:rPr>
          <w:rFonts w:hint="eastAsia" w:ascii="Times New Roman" w:hAnsi="Times New Roman" w:eastAsia="黑体"/>
          <w:b w:val="0"/>
        </w:rPr>
        <w:t>五、财政拨款支出决算明细表</w:t>
      </w:r>
      <w:bookmarkEnd w:id="107"/>
      <w:bookmarkEnd w:id="108"/>
      <w:bookmarkEnd w:id="109"/>
      <w:bookmarkStart w:id="110" w:name="_Toc15396624"/>
    </w:p>
    <w:p>
      <w:pPr>
        <w:pStyle w:val="6"/>
        <w:rPr>
          <w:rFonts w:ascii="Times New Roman" w:hAnsi="Times New Roman" w:eastAsia="黑体"/>
          <w:b w:val="0"/>
        </w:rPr>
      </w:pPr>
      <w:bookmarkStart w:id="111" w:name="_Toc208087300"/>
      <w:bookmarkStart w:id="112" w:name="_Toc208085691"/>
      <w:r>
        <w:rPr>
          <w:rFonts w:hint="eastAsia" w:ascii="Times New Roman" w:hAnsi="Times New Roman" w:eastAsia="黑体"/>
          <w:b w:val="0"/>
        </w:rPr>
        <w:t>六、一般公共预算财政拨款支出决算表</w:t>
      </w:r>
      <w:bookmarkEnd w:id="110"/>
      <w:bookmarkEnd w:id="111"/>
      <w:bookmarkEnd w:id="112"/>
    </w:p>
    <w:p>
      <w:pPr>
        <w:pStyle w:val="6"/>
        <w:rPr>
          <w:rFonts w:ascii="Times New Roman" w:hAnsi="Times New Roman" w:eastAsia="黑体"/>
          <w:b w:val="0"/>
        </w:rPr>
      </w:pPr>
      <w:bookmarkStart w:id="113" w:name="_Toc15396625"/>
      <w:bookmarkStart w:id="114" w:name="_Toc208085692"/>
      <w:bookmarkStart w:id="115" w:name="_Toc208087301"/>
      <w:r>
        <w:rPr>
          <w:rFonts w:hint="eastAsia" w:ascii="Times New Roman" w:hAnsi="Times New Roman" w:eastAsia="黑体"/>
          <w:b w:val="0"/>
        </w:rPr>
        <w:t>七、一般公共预算财政拨款支出决算明细表</w:t>
      </w:r>
      <w:bookmarkEnd w:id="113"/>
      <w:bookmarkEnd w:id="114"/>
      <w:bookmarkEnd w:id="115"/>
    </w:p>
    <w:p>
      <w:pPr>
        <w:pStyle w:val="6"/>
        <w:rPr>
          <w:rFonts w:ascii="Times New Roman" w:hAnsi="Times New Roman" w:eastAsia="黑体"/>
          <w:b w:val="0"/>
        </w:rPr>
      </w:pPr>
      <w:bookmarkStart w:id="116" w:name="_Toc208085693"/>
      <w:bookmarkStart w:id="117" w:name="_Toc208087302"/>
      <w:bookmarkStart w:id="118" w:name="_Toc15396626"/>
      <w:r>
        <w:rPr>
          <w:rFonts w:hint="eastAsia" w:ascii="Times New Roman" w:hAnsi="Times New Roman" w:eastAsia="黑体"/>
          <w:b w:val="0"/>
        </w:rPr>
        <w:t>八、一般公共预算财政拨款基本支出决算表</w:t>
      </w:r>
      <w:bookmarkEnd w:id="116"/>
      <w:bookmarkEnd w:id="117"/>
      <w:bookmarkEnd w:id="118"/>
    </w:p>
    <w:p>
      <w:pPr>
        <w:pStyle w:val="6"/>
        <w:rPr>
          <w:rFonts w:ascii="Times New Roman" w:hAnsi="Times New Roman" w:eastAsia="黑体"/>
          <w:b w:val="0"/>
        </w:rPr>
      </w:pPr>
      <w:bookmarkStart w:id="119" w:name="_Toc15396627"/>
      <w:bookmarkStart w:id="120" w:name="_Toc208085694"/>
      <w:bookmarkStart w:id="121" w:name="_Toc208087303"/>
      <w:r>
        <w:rPr>
          <w:rFonts w:hint="eastAsia" w:ascii="Times New Roman" w:hAnsi="Times New Roman" w:eastAsia="黑体"/>
          <w:b w:val="0"/>
        </w:rPr>
        <w:t>九、一般公共预算财政拨款项目支出决算表</w:t>
      </w:r>
      <w:bookmarkEnd w:id="119"/>
      <w:bookmarkEnd w:id="120"/>
      <w:bookmarkEnd w:id="121"/>
    </w:p>
    <w:p>
      <w:pPr>
        <w:pStyle w:val="6"/>
        <w:rPr>
          <w:rFonts w:ascii="Times New Roman" w:hAnsi="Times New Roman" w:eastAsia="黑体"/>
          <w:b w:val="0"/>
        </w:rPr>
      </w:pPr>
      <w:bookmarkStart w:id="122" w:name="_Toc15396628"/>
      <w:bookmarkStart w:id="123" w:name="_Toc208087304"/>
      <w:bookmarkStart w:id="124" w:name="_Toc208085695"/>
      <w:r>
        <w:rPr>
          <w:rFonts w:hint="eastAsia" w:ascii="Times New Roman" w:hAnsi="Times New Roman" w:eastAsia="黑体"/>
          <w:b w:val="0"/>
        </w:rPr>
        <w:t>十、</w:t>
      </w:r>
      <w:bookmarkEnd w:id="122"/>
      <w:r>
        <w:rPr>
          <w:rFonts w:hint="eastAsia" w:ascii="Times New Roman" w:hAnsi="Times New Roman" w:eastAsia="黑体"/>
          <w:b w:val="0"/>
        </w:rPr>
        <w:t>政府性基金预算财政拨款收入支出决算表</w:t>
      </w:r>
      <w:bookmarkEnd w:id="123"/>
      <w:bookmarkEnd w:id="124"/>
    </w:p>
    <w:p>
      <w:pPr>
        <w:pStyle w:val="6"/>
        <w:rPr>
          <w:rFonts w:ascii="Times New Roman" w:hAnsi="Times New Roman" w:eastAsia="黑体"/>
          <w:b w:val="0"/>
        </w:rPr>
      </w:pPr>
      <w:bookmarkStart w:id="125" w:name="_Toc15396629"/>
      <w:bookmarkStart w:id="126" w:name="_Toc208085696"/>
      <w:bookmarkStart w:id="127" w:name="_Toc208087305"/>
      <w:r>
        <w:rPr>
          <w:rFonts w:hint="eastAsia" w:ascii="Times New Roman" w:hAnsi="Times New Roman" w:eastAsia="黑体"/>
          <w:b w:val="0"/>
        </w:rPr>
        <w:t>十一、</w:t>
      </w:r>
      <w:bookmarkEnd w:id="125"/>
      <w:r>
        <w:rPr>
          <w:rFonts w:hint="eastAsia" w:ascii="Times New Roman" w:hAnsi="Times New Roman" w:eastAsia="黑体"/>
          <w:b w:val="0"/>
        </w:rPr>
        <w:t>国有资本经营预算财政拨款收入支出决算表</w:t>
      </w:r>
      <w:bookmarkEnd w:id="126"/>
      <w:bookmarkEnd w:id="127"/>
    </w:p>
    <w:p>
      <w:pPr>
        <w:pStyle w:val="6"/>
        <w:rPr>
          <w:rFonts w:ascii="Times New Roman" w:hAnsi="Times New Roman" w:eastAsia="黑体"/>
          <w:b w:val="0"/>
        </w:rPr>
      </w:pPr>
      <w:bookmarkStart w:id="128" w:name="_Toc15396630"/>
      <w:bookmarkStart w:id="129" w:name="_Toc208087306"/>
      <w:bookmarkStart w:id="130" w:name="_Toc208085697"/>
      <w:r>
        <w:rPr>
          <w:rFonts w:hint="eastAsia" w:ascii="Times New Roman" w:hAnsi="Times New Roman" w:eastAsia="黑体"/>
          <w:b w:val="0"/>
        </w:rPr>
        <w:t>十二、</w:t>
      </w:r>
      <w:bookmarkEnd w:id="128"/>
      <w:r>
        <w:rPr>
          <w:rFonts w:hint="eastAsia" w:ascii="Times New Roman" w:hAnsi="Times New Roman" w:eastAsia="黑体"/>
          <w:b w:val="0"/>
        </w:rPr>
        <w:t>国有资本经营预算财政拨款支出决算表</w:t>
      </w:r>
      <w:bookmarkEnd w:id="129"/>
      <w:bookmarkEnd w:id="130"/>
    </w:p>
    <w:p>
      <w:pPr>
        <w:pStyle w:val="6"/>
        <w:rPr>
          <w:rFonts w:ascii="Times New Roman" w:hAnsi="Times New Roman" w:eastAsia="黑体"/>
          <w:b w:val="0"/>
        </w:rPr>
      </w:pPr>
      <w:bookmarkStart w:id="131" w:name="_Toc15396631"/>
      <w:bookmarkStart w:id="132" w:name="_Toc208087307"/>
      <w:bookmarkStart w:id="133" w:name="_Toc208085698"/>
      <w:r>
        <w:rPr>
          <w:rFonts w:hint="eastAsia" w:ascii="Times New Roman" w:hAnsi="Times New Roman" w:eastAsia="黑体"/>
          <w:b w:val="0"/>
        </w:rPr>
        <w:t>十三、</w:t>
      </w:r>
      <w:bookmarkEnd w:id="131"/>
      <w:r>
        <w:rPr>
          <w:rFonts w:hint="eastAsia" w:ascii="Times New Roman" w:hAnsi="Times New Roman" w:eastAsia="黑体"/>
          <w:b w:val="0"/>
        </w:rPr>
        <w:t>财政拨款“三公”经费支出决算表</w:t>
      </w:r>
      <w:bookmarkEnd w:id="132"/>
      <w:bookmarkEnd w:id="133"/>
    </w:p>
    <w:p/>
    <w:sectPr>
      <w:headerReference r:id="rId4" w:type="first"/>
      <w:footerReference r:id="rId6" w:type="first"/>
      <w:headerReference r:id="rId3" w:type="default"/>
      <w:footerReference r:id="rId5"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0000000000000000000"/>
    <w:charset w:val="86"/>
    <w:family w:val="modern"/>
    <w:pitch w:val="default"/>
    <w:sig w:usb0="00000000" w:usb1="00000000" w:usb2="00000010" w:usb3="00000000" w:csb0="00040000" w:csb1="00000000"/>
  </w:font>
  <w:font w:name="方正仿宋_GB2312">
    <w:altName w:val="方正仿宋_GBK"/>
    <w:panose1 w:val="00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0476397"/>
      <w:docPartObj>
        <w:docPartGallery w:val="autotext"/>
      </w:docPartObj>
    </w:sdtPr>
    <w:sdtContent>
      <w:p>
        <w:pPr>
          <w:pStyle w:val="14"/>
          <w:jc w:val="center"/>
        </w:pPr>
        <w:r>
          <w:fldChar w:fldCharType="begin"/>
        </w:r>
        <w:r>
          <w:instrText xml:space="preserve">PAGE   \* MERGEFORMAT</w:instrText>
        </w:r>
        <w:r>
          <w:fldChar w:fldCharType="separate"/>
        </w:r>
        <w:r>
          <w:rPr>
            <w:lang w:val="zh-CN"/>
          </w:rPr>
          <w:t>38</w:t>
        </w:r>
        <w:r>
          <w:fldChar w:fldCharType="end"/>
        </w:r>
      </w:p>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462020"/>
    <w:multiLevelType w:val="multilevel"/>
    <w:tmpl w:val="0F462020"/>
    <w:lvl w:ilvl="0" w:tentative="0">
      <w:start w:val="2"/>
      <w:numFmt w:val="japaneseCounting"/>
      <w:lvlText w:val="（%1）"/>
      <w:lvlJc w:val="left"/>
      <w:pPr>
        <w:ind w:left="1720" w:hanging="1080"/>
      </w:pPr>
      <w:rPr>
        <w:rFonts w:hint="default" w:eastAsia="楷体_GB2312"/>
        <w:b/>
        <w:color w:val="00000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6015DC1"/>
    <w:multiLevelType w:val="singleLevel"/>
    <w:tmpl w:val="56015DC1"/>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1136E"/>
    <w:rsid w:val="000222C6"/>
    <w:rsid w:val="0002549F"/>
    <w:rsid w:val="00032923"/>
    <w:rsid w:val="000468DB"/>
    <w:rsid w:val="0006487A"/>
    <w:rsid w:val="00065F8F"/>
    <w:rsid w:val="00070A43"/>
    <w:rsid w:val="000768F2"/>
    <w:rsid w:val="00082DA5"/>
    <w:rsid w:val="0009184B"/>
    <w:rsid w:val="00094236"/>
    <w:rsid w:val="0009593C"/>
    <w:rsid w:val="00097322"/>
    <w:rsid w:val="000A6A92"/>
    <w:rsid w:val="000B047F"/>
    <w:rsid w:val="000B5923"/>
    <w:rsid w:val="000B5A48"/>
    <w:rsid w:val="000B6FF3"/>
    <w:rsid w:val="000C3467"/>
    <w:rsid w:val="000C3CA6"/>
    <w:rsid w:val="000C55F8"/>
    <w:rsid w:val="000D1267"/>
    <w:rsid w:val="000D1D50"/>
    <w:rsid w:val="000D5782"/>
    <w:rsid w:val="000E6613"/>
    <w:rsid w:val="000E7119"/>
    <w:rsid w:val="000F08B7"/>
    <w:rsid w:val="00101A80"/>
    <w:rsid w:val="00106846"/>
    <w:rsid w:val="00112AE5"/>
    <w:rsid w:val="00114E9B"/>
    <w:rsid w:val="001300F7"/>
    <w:rsid w:val="001350F1"/>
    <w:rsid w:val="00142216"/>
    <w:rsid w:val="00144D6A"/>
    <w:rsid w:val="0014729F"/>
    <w:rsid w:val="00157BAB"/>
    <w:rsid w:val="001654D1"/>
    <w:rsid w:val="00173124"/>
    <w:rsid w:val="00174518"/>
    <w:rsid w:val="0018106D"/>
    <w:rsid w:val="00186570"/>
    <w:rsid w:val="001877A7"/>
    <w:rsid w:val="00191536"/>
    <w:rsid w:val="00196574"/>
    <w:rsid w:val="00196687"/>
    <w:rsid w:val="001C0962"/>
    <w:rsid w:val="001C5AC1"/>
    <w:rsid w:val="001D15BD"/>
    <w:rsid w:val="001D7531"/>
    <w:rsid w:val="001E678E"/>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E20EE"/>
    <w:rsid w:val="002F1818"/>
    <w:rsid w:val="002F18BA"/>
    <w:rsid w:val="002F567B"/>
    <w:rsid w:val="003216A9"/>
    <w:rsid w:val="00335A74"/>
    <w:rsid w:val="00337ED5"/>
    <w:rsid w:val="00360BBC"/>
    <w:rsid w:val="0036561B"/>
    <w:rsid w:val="0037013F"/>
    <w:rsid w:val="00380C92"/>
    <w:rsid w:val="00383E69"/>
    <w:rsid w:val="00384037"/>
    <w:rsid w:val="00396383"/>
    <w:rsid w:val="003A484F"/>
    <w:rsid w:val="003A4883"/>
    <w:rsid w:val="003B0BE0"/>
    <w:rsid w:val="003B0C1B"/>
    <w:rsid w:val="003B29D6"/>
    <w:rsid w:val="003B688C"/>
    <w:rsid w:val="003C0291"/>
    <w:rsid w:val="003C2B03"/>
    <w:rsid w:val="003C39AE"/>
    <w:rsid w:val="003C7B60"/>
    <w:rsid w:val="003D0C0F"/>
    <w:rsid w:val="003D1FB2"/>
    <w:rsid w:val="003D66DA"/>
    <w:rsid w:val="003D7472"/>
    <w:rsid w:val="003E1310"/>
    <w:rsid w:val="003E6F55"/>
    <w:rsid w:val="00406254"/>
    <w:rsid w:val="00413B06"/>
    <w:rsid w:val="004223DE"/>
    <w:rsid w:val="00434489"/>
    <w:rsid w:val="00437085"/>
    <w:rsid w:val="00443880"/>
    <w:rsid w:val="004464F4"/>
    <w:rsid w:val="004538D6"/>
    <w:rsid w:val="00471401"/>
    <w:rsid w:val="00473F31"/>
    <w:rsid w:val="0048263A"/>
    <w:rsid w:val="00484888"/>
    <w:rsid w:val="00487E5D"/>
    <w:rsid w:val="004A711F"/>
    <w:rsid w:val="004B199D"/>
    <w:rsid w:val="004B4690"/>
    <w:rsid w:val="004D210F"/>
    <w:rsid w:val="004D3B21"/>
    <w:rsid w:val="004E0A2D"/>
    <w:rsid w:val="004E206B"/>
    <w:rsid w:val="004E6DF7"/>
    <w:rsid w:val="004F0FBD"/>
    <w:rsid w:val="00505A47"/>
    <w:rsid w:val="00512FDA"/>
    <w:rsid w:val="00520DA0"/>
    <w:rsid w:val="005226C6"/>
    <w:rsid w:val="00533CE3"/>
    <w:rsid w:val="005350CE"/>
    <w:rsid w:val="00556E2D"/>
    <w:rsid w:val="00563ACA"/>
    <w:rsid w:val="005664BB"/>
    <w:rsid w:val="00566FFA"/>
    <w:rsid w:val="0057481D"/>
    <w:rsid w:val="0058486E"/>
    <w:rsid w:val="00585B33"/>
    <w:rsid w:val="0059014D"/>
    <w:rsid w:val="005B45E1"/>
    <w:rsid w:val="005B5C64"/>
    <w:rsid w:val="005C5337"/>
    <w:rsid w:val="005C6BD0"/>
    <w:rsid w:val="005D1C8B"/>
    <w:rsid w:val="005D468D"/>
    <w:rsid w:val="005D5CED"/>
    <w:rsid w:val="005F1A4C"/>
    <w:rsid w:val="00605688"/>
    <w:rsid w:val="006070AF"/>
    <w:rsid w:val="00607E6C"/>
    <w:rsid w:val="006101B1"/>
    <w:rsid w:val="00614E44"/>
    <w:rsid w:val="00621638"/>
    <w:rsid w:val="0062270A"/>
    <w:rsid w:val="00622830"/>
    <w:rsid w:val="0062299D"/>
    <w:rsid w:val="00623DA0"/>
    <w:rsid w:val="00630AEF"/>
    <w:rsid w:val="006325F8"/>
    <w:rsid w:val="00633463"/>
    <w:rsid w:val="00634C9A"/>
    <w:rsid w:val="006440E4"/>
    <w:rsid w:val="0066343B"/>
    <w:rsid w:val="00664777"/>
    <w:rsid w:val="006748A4"/>
    <w:rsid w:val="00681A31"/>
    <w:rsid w:val="00682328"/>
    <w:rsid w:val="00683E73"/>
    <w:rsid w:val="00695146"/>
    <w:rsid w:val="006A06BB"/>
    <w:rsid w:val="006A3141"/>
    <w:rsid w:val="006A5E34"/>
    <w:rsid w:val="006B1F0E"/>
    <w:rsid w:val="006B2422"/>
    <w:rsid w:val="006B2B9A"/>
    <w:rsid w:val="006C1937"/>
    <w:rsid w:val="006D2145"/>
    <w:rsid w:val="006E4406"/>
    <w:rsid w:val="006F020C"/>
    <w:rsid w:val="007127B7"/>
    <w:rsid w:val="0071798E"/>
    <w:rsid w:val="007319FC"/>
    <w:rsid w:val="007416B6"/>
    <w:rsid w:val="00746F48"/>
    <w:rsid w:val="0075404D"/>
    <w:rsid w:val="0076182A"/>
    <w:rsid w:val="00767B7E"/>
    <w:rsid w:val="007770C3"/>
    <w:rsid w:val="00784D24"/>
    <w:rsid w:val="00785FBA"/>
    <w:rsid w:val="00786E4A"/>
    <w:rsid w:val="007875EB"/>
    <w:rsid w:val="00793141"/>
    <w:rsid w:val="0079426B"/>
    <w:rsid w:val="007A085B"/>
    <w:rsid w:val="007B6D00"/>
    <w:rsid w:val="007D1682"/>
    <w:rsid w:val="007D312A"/>
    <w:rsid w:val="007D3F19"/>
    <w:rsid w:val="007E23B0"/>
    <w:rsid w:val="007E23E5"/>
    <w:rsid w:val="007F1991"/>
    <w:rsid w:val="007F2C2F"/>
    <w:rsid w:val="007F55FC"/>
    <w:rsid w:val="007F5665"/>
    <w:rsid w:val="00800112"/>
    <w:rsid w:val="00813348"/>
    <w:rsid w:val="008170F7"/>
    <w:rsid w:val="008253BB"/>
    <w:rsid w:val="00825BC3"/>
    <w:rsid w:val="00827BDB"/>
    <w:rsid w:val="008356AD"/>
    <w:rsid w:val="0083595B"/>
    <w:rsid w:val="0083706E"/>
    <w:rsid w:val="008408F6"/>
    <w:rsid w:val="008423A5"/>
    <w:rsid w:val="00850625"/>
    <w:rsid w:val="00851312"/>
    <w:rsid w:val="00853718"/>
    <w:rsid w:val="00855221"/>
    <w:rsid w:val="00860645"/>
    <w:rsid w:val="00864640"/>
    <w:rsid w:val="008706B5"/>
    <w:rsid w:val="00871F71"/>
    <w:rsid w:val="00872E68"/>
    <w:rsid w:val="00872FD8"/>
    <w:rsid w:val="00881E25"/>
    <w:rsid w:val="00885AF4"/>
    <w:rsid w:val="008939CD"/>
    <w:rsid w:val="008A6174"/>
    <w:rsid w:val="008B73A8"/>
    <w:rsid w:val="008B768C"/>
    <w:rsid w:val="008C4DB1"/>
    <w:rsid w:val="008C4EAF"/>
    <w:rsid w:val="008C5176"/>
    <w:rsid w:val="008C5E6D"/>
    <w:rsid w:val="008C7FD0"/>
    <w:rsid w:val="008D266B"/>
    <w:rsid w:val="008D7D2B"/>
    <w:rsid w:val="008E1DE7"/>
    <w:rsid w:val="008E707C"/>
    <w:rsid w:val="008F2828"/>
    <w:rsid w:val="00900B08"/>
    <w:rsid w:val="00902155"/>
    <w:rsid w:val="00902FA3"/>
    <w:rsid w:val="00923564"/>
    <w:rsid w:val="0092392E"/>
    <w:rsid w:val="009315F9"/>
    <w:rsid w:val="00933499"/>
    <w:rsid w:val="00935C98"/>
    <w:rsid w:val="009368DA"/>
    <w:rsid w:val="00940F55"/>
    <w:rsid w:val="00941B8E"/>
    <w:rsid w:val="00946945"/>
    <w:rsid w:val="00951248"/>
    <w:rsid w:val="0095152F"/>
    <w:rsid w:val="00954C49"/>
    <w:rsid w:val="00955E37"/>
    <w:rsid w:val="0097099F"/>
    <w:rsid w:val="00971997"/>
    <w:rsid w:val="00971FFC"/>
    <w:rsid w:val="0098660A"/>
    <w:rsid w:val="009931C3"/>
    <w:rsid w:val="009A6CE4"/>
    <w:rsid w:val="009B2C43"/>
    <w:rsid w:val="009B4EAE"/>
    <w:rsid w:val="009B7573"/>
    <w:rsid w:val="009C22F4"/>
    <w:rsid w:val="009C2A4B"/>
    <w:rsid w:val="009C2E98"/>
    <w:rsid w:val="009D3447"/>
    <w:rsid w:val="009D4711"/>
    <w:rsid w:val="009E5D4E"/>
    <w:rsid w:val="009F1185"/>
    <w:rsid w:val="009F18CD"/>
    <w:rsid w:val="009F2668"/>
    <w:rsid w:val="009F2A13"/>
    <w:rsid w:val="009F7527"/>
    <w:rsid w:val="00A00BB3"/>
    <w:rsid w:val="00A04EB0"/>
    <w:rsid w:val="00A07E2C"/>
    <w:rsid w:val="00A07F49"/>
    <w:rsid w:val="00A13CC1"/>
    <w:rsid w:val="00A16847"/>
    <w:rsid w:val="00A237D8"/>
    <w:rsid w:val="00A268C4"/>
    <w:rsid w:val="00A307CD"/>
    <w:rsid w:val="00A331C8"/>
    <w:rsid w:val="00A40A00"/>
    <w:rsid w:val="00A4142F"/>
    <w:rsid w:val="00A422EB"/>
    <w:rsid w:val="00A45BB7"/>
    <w:rsid w:val="00A5425D"/>
    <w:rsid w:val="00A56DF2"/>
    <w:rsid w:val="00A56E6E"/>
    <w:rsid w:val="00A63861"/>
    <w:rsid w:val="00A67AB5"/>
    <w:rsid w:val="00A733B2"/>
    <w:rsid w:val="00A741C2"/>
    <w:rsid w:val="00A84892"/>
    <w:rsid w:val="00A91760"/>
    <w:rsid w:val="00A93B00"/>
    <w:rsid w:val="00A93C21"/>
    <w:rsid w:val="00AB64C9"/>
    <w:rsid w:val="00AC3C6A"/>
    <w:rsid w:val="00AC4956"/>
    <w:rsid w:val="00AD132C"/>
    <w:rsid w:val="00AD5620"/>
    <w:rsid w:val="00AD656B"/>
    <w:rsid w:val="00AD7C1B"/>
    <w:rsid w:val="00AE16BA"/>
    <w:rsid w:val="00AE174E"/>
    <w:rsid w:val="00AE1EBE"/>
    <w:rsid w:val="00AE270C"/>
    <w:rsid w:val="00B03C9D"/>
    <w:rsid w:val="00B060AE"/>
    <w:rsid w:val="00B10517"/>
    <w:rsid w:val="00B14E76"/>
    <w:rsid w:val="00B161B8"/>
    <w:rsid w:val="00B2048C"/>
    <w:rsid w:val="00B21761"/>
    <w:rsid w:val="00B27476"/>
    <w:rsid w:val="00B30162"/>
    <w:rsid w:val="00B30E60"/>
    <w:rsid w:val="00B310B9"/>
    <w:rsid w:val="00B35F3F"/>
    <w:rsid w:val="00B36CBB"/>
    <w:rsid w:val="00B425E0"/>
    <w:rsid w:val="00B440AA"/>
    <w:rsid w:val="00B44B70"/>
    <w:rsid w:val="00B5085D"/>
    <w:rsid w:val="00B53C56"/>
    <w:rsid w:val="00B57DAF"/>
    <w:rsid w:val="00B77EA6"/>
    <w:rsid w:val="00B81598"/>
    <w:rsid w:val="00B841F1"/>
    <w:rsid w:val="00B944D6"/>
    <w:rsid w:val="00BB4DF0"/>
    <w:rsid w:val="00BB6053"/>
    <w:rsid w:val="00BC289F"/>
    <w:rsid w:val="00BC2D50"/>
    <w:rsid w:val="00BC5361"/>
    <w:rsid w:val="00BC5460"/>
    <w:rsid w:val="00BC6B50"/>
    <w:rsid w:val="00BD0E25"/>
    <w:rsid w:val="00BE62D1"/>
    <w:rsid w:val="00BF4BF0"/>
    <w:rsid w:val="00BF5BD6"/>
    <w:rsid w:val="00BF647F"/>
    <w:rsid w:val="00C03E31"/>
    <w:rsid w:val="00C07017"/>
    <w:rsid w:val="00C32BDD"/>
    <w:rsid w:val="00C33E72"/>
    <w:rsid w:val="00C354B2"/>
    <w:rsid w:val="00C35554"/>
    <w:rsid w:val="00C35F7F"/>
    <w:rsid w:val="00C42709"/>
    <w:rsid w:val="00C533CC"/>
    <w:rsid w:val="00C5751C"/>
    <w:rsid w:val="00C5782E"/>
    <w:rsid w:val="00C61BFC"/>
    <w:rsid w:val="00C62B85"/>
    <w:rsid w:val="00C65438"/>
    <w:rsid w:val="00C81A27"/>
    <w:rsid w:val="00C87FD8"/>
    <w:rsid w:val="00C91381"/>
    <w:rsid w:val="00C91CBB"/>
    <w:rsid w:val="00CB4E70"/>
    <w:rsid w:val="00CC09B6"/>
    <w:rsid w:val="00CC666F"/>
    <w:rsid w:val="00CD1E3F"/>
    <w:rsid w:val="00CE44F6"/>
    <w:rsid w:val="00CE49DA"/>
    <w:rsid w:val="00CE7B61"/>
    <w:rsid w:val="00D00095"/>
    <w:rsid w:val="00D03F56"/>
    <w:rsid w:val="00D114F0"/>
    <w:rsid w:val="00D15272"/>
    <w:rsid w:val="00D20620"/>
    <w:rsid w:val="00D254F7"/>
    <w:rsid w:val="00D26091"/>
    <w:rsid w:val="00D2685C"/>
    <w:rsid w:val="00D347BD"/>
    <w:rsid w:val="00D34E7C"/>
    <w:rsid w:val="00D35489"/>
    <w:rsid w:val="00D36AFE"/>
    <w:rsid w:val="00D46726"/>
    <w:rsid w:val="00D51276"/>
    <w:rsid w:val="00D54352"/>
    <w:rsid w:val="00D63BD5"/>
    <w:rsid w:val="00D7035F"/>
    <w:rsid w:val="00D74E79"/>
    <w:rsid w:val="00D754C8"/>
    <w:rsid w:val="00D76261"/>
    <w:rsid w:val="00D76899"/>
    <w:rsid w:val="00D76B15"/>
    <w:rsid w:val="00D77145"/>
    <w:rsid w:val="00D90EDF"/>
    <w:rsid w:val="00DA634F"/>
    <w:rsid w:val="00DA65AC"/>
    <w:rsid w:val="00DB1913"/>
    <w:rsid w:val="00DB5319"/>
    <w:rsid w:val="00DC1699"/>
    <w:rsid w:val="00DC410D"/>
    <w:rsid w:val="00DC5A81"/>
    <w:rsid w:val="00DC60DF"/>
    <w:rsid w:val="00DC6456"/>
    <w:rsid w:val="00DC68CA"/>
    <w:rsid w:val="00DC7CBA"/>
    <w:rsid w:val="00DD73B7"/>
    <w:rsid w:val="00DF28BC"/>
    <w:rsid w:val="00DF34B9"/>
    <w:rsid w:val="00E01053"/>
    <w:rsid w:val="00E07ACF"/>
    <w:rsid w:val="00E16EAE"/>
    <w:rsid w:val="00E27D05"/>
    <w:rsid w:val="00E331A1"/>
    <w:rsid w:val="00E33202"/>
    <w:rsid w:val="00E336A9"/>
    <w:rsid w:val="00E472B1"/>
    <w:rsid w:val="00E50624"/>
    <w:rsid w:val="00E54633"/>
    <w:rsid w:val="00E568DF"/>
    <w:rsid w:val="00E6256D"/>
    <w:rsid w:val="00E64269"/>
    <w:rsid w:val="00E6741F"/>
    <w:rsid w:val="00E72657"/>
    <w:rsid w:val="00E802EB"/>
    <w:rsid w:val="00E82267"/>
    <w:rsid w:val="00E853CE"/>
    <w:rsid w:val="00E867B6"/>
    <w:rsid w:val="00EA010F"/>
    <w:rsid w:val="00EC611F"/>
    <w:rsid w:val="00ED1B63"/>
    <w:rsid w:val="00ED3C1F"/>
    <w:rsid w:val="00ED4085"/>
    <w:rsid w:val="00ED420E"/>
    <w:rsid w:val="00ED6FBE"/>
    <w:rsid w:val="00ED7EE4"/>
    <w:rsid w:val="00EE028E"/>
    <w:rsid w:val="00EE2F57"/>
    <w:rsid w:val="00EE67D1"/>
    <w:rsid w:val="00EF4C34"/>
    <w:rsid w:val="00EF77C6"/>
    <w:rsid w:val="00F05438"/>
    <w:rsid w:val="00F1361C"/>
    <w:rsid w:val="00F156F0"/>
    <w:rsid w:val="00F160C7"/>
    <w:rsid w:val="00F2408F"/>
    <w:rsid w:val="00F240E9"/>
    <w:rsid w:val="00F36D8F"/>
    <w:rsid w:val="00F417B1"/>
    <w:rsid w:val="00F45853"/>
    <w:rsid w:val="00F602DF"/>
    <w:rsid w:val="00F639A5"/>
    <w:rsid w:val="00F754A1"/>
    <w:rsid w:val="00F81FD9"/>
    <w:rsid w:val="00F841AA"/>
    <w:rsid w:val="00F84A94"/>
    <w:rsid w:val="00F87E96"/>
    <w:rsid w:val="00FA23E8"/>
    <w:rsid w:val="00FC275E"/>
    <w:rsid w:val="00FD17FD"/>
    <w:rsid w:val="00FD3CC1"/>
    <w:rsid w:val="00FD57D0"/>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8FF5972"/>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B4A2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8"/>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toc 7"/>
    <w:basedOn w:val="1"/>
    <w:next w:val="1"/>
    <w:unhideWhenUsed/>
    <w:qFormat/>
    <w:uiPriority w:val="39"/>
    <w:pPr>
      <w:ind w:left="1260"/>
      <w:jc w:val="left"/>
    </w:pPr>
    <w:rPr>
      <w:rFonts w:asciiTheme="minorHAnsi" w:hAnsiTheme="minorHAnsi" w:cstheme="minorHAnsi"/>
      <w:sz w:val="18"/>
      <w:szCs w:val="18"/>
    </w:rPr>
  </w:style>
  <w:style w:type="paragraph" w:styleId="9">
    <w:name w:val="Body Text"/>
    <w:basedOn w:val="1"/>
    <w:link w:val="31"/>
    <w:qFormat/>
    <w:uiPriority w:val="99"/>
    <w:pPr>
      <w:spacing w:beforeLines="30"/>
    </w:pPr>
    <w:rPr>
      <w:rFonts w:ascii="仿宋_GB2312" w:eastAsia="仿宋_GB2312"/>
      <w:kern w:val="0"/>
      <w:sz w:val="30"/>
    </w:rPr>
  </w:style>
  <w:style w:type="paragraph" w:styleId="10">
    <w:name w:val="toc 5"/>
    <w:basedOn w:val="1"/>
    <w:next w:val="1"/>
    <w:unhideWhenUsed/>
    <w:qFormat/>
    <w:uiPriority w:val="39"/>
    <w:pPr>
      <w:ind w:left="840"/>
      <w:jc w:val="left"/>
    </w:pPr>
    <w:rPr>
      <w:rFonts w:asciiTheme="minorHAnsi" w:hAnsiTheme="minorHAnsi" w:cstheme="minorHAnsi"/>
      <w:sz w:val="18"/>
      <w:szCs w:val="18"/>
    </w:rPr>
  </w:style>
  <w:style w:type="paragraph" w:styleId="11">
    <w:name w:val="toc 3"/>
    <w:basedOn w:val="1"/>
    <w:next w:val="1"/>
    <w:unhideWhenUsed/>
    <w:qFormat/>
    <w:uiPriority w:val="39"/>
    <w:pPr>
      <w:ind w:left="420"/>
      <w:jc w:val="left"/>
    </w:pPr>
    <w:rPr>
      <w:rFonts w:asciiTheme="minorHAnsi" w:hAnsiTheme="minorHAnsi" w:cstheme="minorHAnsi"/>
      <w:i/>
      <w:iCs/>
      <w:sz w:val="20"/>
      <w:szCs w:val="20"/>
    </w:rPr>
  </w:style>
  <w:style w:type="paragraph" w:styleId="12">
    <w:name w:val="toc 8"/>
    <w:basedOn w:val="1"/>
    <w:next w:val="1"/>
    <w:unhideWhenUsed/>
    <w:qFormat/>
    <w:uiPriority w:val="39"/>
    <w:pPr>
      <w:ind w:left="1470"/>
      <w:jc w:val="left"/>
    </w:pPr>
    <w:rPr>
      <w:rFonts w:asciiTheme="minorHAnsi" w:hAnsiTheme="minorHAnsi" w:cstheme="minorHAnsi"/>
      <w:sz w:val="18"/>
      <w:szCs w:val="18"/>
    </w:rPr>
  </w:style>
  <w:style w:type="paragraph" w:styleId="13">
    <w:name w:val="Balloon Text"/>
    <w:basedOn w:val="1"/>
    <w:link w:val="37"/>
    <w:semiHidden/>
    <w:unhideWhenUsed/>
    <w:qFormat/>
    <w:uiPriority w:val="99"/>
    <w:rPr>
      <w:sz w:val="18"/>
      <w:szCs w:val="18"/>
    </w:rPr>
  </w:style>
  <w:style w:type="paragraph" w:styleId="14">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unhideWhenUsed/>
    <w:qFormat/>
    <w:uiPriority w:val="39"/>
    <w:pPr>
      <w:spacing w:before="120" w:after="120"/>
      <w:jc w:val="left"/>
    </w:pPr>
    <w:rPr>
      <w:rFonts w:asciiTheme="minorHAnsi" w:hAnsiTheme="minorHAnsi" w:cstheme="minorHAnsi"/>
      <w:b/>
      <w:bCs/>
      <w:caps/>
      <w:sz w:val="20"/>
      <w:szCs w:val="20"/>
    </w:rPr>
  </w:style>
  <w:style w:type="paragraph" w:styleId="17">
    <w:name w:val="toc 4"/>
    <w:basedOn w:val="1"/>
    <w:next w:val="1"/>
    <w:unhideWhenUsed/>
    <w:qFormat/>
    <w:uiPriority w:val="39"/>
    <w:pPr>
      <w:ind w:left="630"/>
      <w:jc w:val="left"/>
    </w:pPr>
    <w:rPr>
      <w:rFonts w:asciiTheme="minorHAnsi" w:hAnsiTheme="minorHAnsi" w:cstheme="minorHAnsi"/>
      <w:sz w:val="18"/>
      <w:szCs w:val="18"/>
    </w:rPr>
  </w:style>
  <w:style w:type="paragraph" w:styleId="18">
    <w:name w:val="toc 6"/>
    <w:basedOn w:val="1"/>
    <w:next w:val="1"/>
    <w:unhideWhenUsed/>
    <w:qFormat/>
    <w:uiPriority w:val="39"/>
    <w:pPr>
      <w:ind w:left="1050"/>
      <w:jc w:val="left"/>
    </w:pPr>
    <w:rPr>
      <w:rFonts w:asciiTheme="minorHAnsi" w:hAnsiTheme="minorHAnsi" w:cstheme="minorHAnsi"/>
      <w:sz w:val="18"/>
      <w:szCs w:val="18"/>
    </w:rPr>
  </w:style>
  <w:style w:type="paragraph" w:styleId="19">
    <w:name w:val="toc 2"/>
    <w:basedOn w:val="1"/>
    <w:next w:val="1"/>
    <w:unhideWhenUsed/>
    <w:qFormat/>
    <w:uiPriority w:val="39"/>
    <w:pPr>
      <w:ind w:left="210"/>
      <w:jc w:val="left"/>
    </w:pPr>
    <w:rPr>
      <w:rFonts w:asciiTheme="minorHAnsi" w:hAnsiTheme="minorHAnsi" w:cstheme="minorHAnsi"/>
      <w:smallCaps/>
      <w:sz w:val="20"/>
      <w:szCs w:val="20"/>
    </w:rPr>
  </w:style>
  <w:style w:type="paragraph" w:styleId="20">
    <w:name w:val="toc 9"/>
    <w:basedOn w:val="1"/>
    <w:next w:val="1"/>
    <w:unhideWhenUsed/>
    <w:qFormat/>
    <w:uiPriority w:val="39"/>
    <w:pPr>
      <w:ind w:left="1680"/>
      <w:jc w:val="left"/>
    </w:pPr>
    <w:rPr>
      <w:rFonts w:asciiTheme="minorHAnsi" w:hAnsiTheme="minorHAnsi" w:cstheme="minorHAnsi"/>
      <w:sz w:val="18"/>
      <w:szCs w:val="18"/>
    </w:rPr>
  </w:style>
  <w:style w:type="character" w:styleId="23">
    <w:name w:val="Strong"/>
    <w:basedOn w:val="22"/>
    <w:qFormat/>
    <w:uiPriority w:val="99"/>
    <w:rPr>
      <w:b/>
    </w:rPr>
  </w:style>
  <w:style w:type="character" w:styleId="24">
    <w:name w:val="Hyperlink"/>
    <w:basedOn w:val="22"/>
    <w:unhideWhenUsed/>
    <w:qFormat/>
    <w:uiPriority w:val="99"/>
    <w:rPr>
      <w:color w:val="0000FF" w:themeColor="hyperlink"/>
      <w:u w:val="single"/>
    </w:rPr>
  </w:style>
  <w:style w:type="paragraph" w:customStyle="1" w:styleId="25">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6">
    <w:name w:val="Header Char"/>
    <w:basedOn w:val="22"/>
    <w:semiHidden/>
    <w:qFormat/>
    <w:uiPriority w:val="99"/>
    <w:rPr>
      <w:rFonts w:ascii="Times New Roman" w:hAnsi="Times New Roman"/>
      <w:sz w:val="18"/>
      <w:szCs w:val="18"/>
    </w:rPr>
  </w:style>
  <w:style w:type="character" w:customStyle="1" w:styleId="27">
    <w:name w:val="页眉 Char"/>
    <w:link w:val="15"/>
    <w:semiHidden/>
    <w:qFormat/>
    <w:locked/>
    <w:uiPriority w:val="99"/>
    <w:rPr>
      <w:sz w:val="18"/>
    </w:rPr>
  </w:style>
  <w:style w:type="character" w:customStyle="1" w:styleId="28">
    <w:name w:val="Footer Char"/>
    <w:basedOn w:val="22"/>
    <w:semiHidden/>
    <w:qFormat/>
    <w:uiPriority w:val="99"/>
    <w:rPr>
      <w:rFonts w:ascii="Times New Roman" w:hAnsi="Times New Roman"/>
      <w:sz w:val="18"/>
      <w:szCs w:val="18"/>
    </w:rPr>
  </w:style>
  <w:style w:type="character" w:customStyle="1" w:styleId="29">
    <w:name w:val="页脚 Char"/>
    <w:link w:val="14"/>
    <w:qFormat/>
    <w:locked/>
    <w:uiPriority w:val="99"/>
    <w:rPr>
      <w:sz w:val="18"/>
    </w:rPr>
  </w:style>
  <w:style w:type="character" w:customStyle="1" w:styleId="30">
    <w:name w:val="Body Text Char"/>
    <w:basedOn w:val="22"/>
    <w:semiHidden/>
    <w:qFormat/>
    <w:uiPriority w:val="99"/>
    <w:rPr>
      <w:rFonts w:ascii="Times New Roman" w:hAnsi="Times New Roman"/>
      <w:szCs w:val="24"/>
    </w:rPr>
  </w:style>
  <w:style w:type="character" w:customStyle="1" w:styleId="31">
    <w:name w:val="正文文本 Char"/>
    <w:link w:val="9"/>
    <w:qFormat/>
    <w:locked/>
    <w:uiPriority w:val="99"/>
    <w:rPr>
      <w:rFonts w:ascii="仿宋_GB2312" w:hAnsi="Times New Roman" w:eastAsia="仿宋_GB2312"/>
      <w:sz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标题 1 Char"/>
    <w:basedOn w:val="22"/>
    <w:link w:val="5"/>
    <w:qFormat/>
    <w:uiPriority w:val="9"/>
    <w:rPr>
      <w:rFonts w:ascii="Times New Roman" w:hAnsi="Times New Roman"/>
      <w:b/>
      <w:bCs/>
      <w:kern w:val="44"/>
      <w:sz w:val="44"/>
      <w:szCs w:val="44"/>
    </w:rPr>
  </w:style>
  <w:style w:type="character" w:customStyle="1" w:styleId="35">
    <w:name w:val="标题 2 Char"/>
    <w:basedOn w:val="22"/>
    <w:link w:val="6"/>
    <w:qFormat/>
    <w:uiPriority w:val="9"/>
    <w:rPr>
      <w:rFonts w:asciiTheme="majorHAnsi" w:hAnsiTheme="majorHAnsi" w:eastAsiaTheme="majorEastAsia" w:cstheme="majorBidi"/>
      <w:b/>
      <w:bCs/>
      <w:kern w:val="2"/>
      <w:sz w:val="32"/>
      <w:szCs w:val="32"/>
    </w:rPr>
  </w:style>
  <w:style w:type="paragraph" w:customStyle="1" w:styleId="36">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7">
    <w:name w:val="批注框文本 Char"/>
    <w:basedOn w:val="22"/>
    <w:link w:val="13"/>
    <w:semiHidden/>
    <w:qFormat/>
    <w:uiPriority w:val="99"/>
    <w:rPr>
      <w:rFonts w:ascii="Times New Roman" w:hAnsi="Times New Roman"/>
      <w:kern w:val="2"/>
      <w:sz w:val="18"/>
      <w:szCs w:val="18"/>
    </w:rPr>
  </w:style>
  <w:style w:type="character" w:customStyle="1" w:styleId="38">
    <w:name w:val="标题 3 Char"/>
    <w:basedOn w:val="22"/>
    <w:link w:val="7"/>
    <w:qFormat/>
    <w:uiPriority w:val="9"/>
    <w:rPr>
      <w:rFonts w:ascii="Times New Roman" w:hAnsi="Times New Roman"/>
      <w:b/>
      <w:bCs/>
      <w:kern w:val="2"/>
      <w:sz w:val="32"/>
      <w:szCs w:val="32"/>
    </w:rPr>
  </w:style>
  <w:style w:type="paragraph" w:customStyle="1" w:styleId="39">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40">
    <w:name w:val="四号正文"/>
    <w:basedOn w:val="1"/>
    <w:link w:val="42"/>
    <w:qFormat/>
    <w:uiPriority w:val="0"/>
    <w:pPr>
      <w:spacing w:line="360" w:lineRule="auto"/>
    </w:pPr>
    <w:rPr>
      <w:rFonts w:ascii="??" w:hAnsi="??"/>
      <w:color w:val="000000"/>
      <w:kern w:val="0"/>
      <w:sz w:val="28"/>
      <w:szCs w:val="21"/>
      <w:lang w:val="zh-CN"/>
    </w:rPr>
  </w:style>
  <w:style w:type="paragraph" w:customStyle="1" w:styleId="41">
    <w:name w:val="TOC Heading"/>
    <w:basedOn w:val="5"/>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character" w:customStyle="1" w:styleId="42">
    <w:name w:val="四号正文 Char Char"/>
    <w:link w:val="40"/>
    <w:qFormat/>
    <w:uiPriority w:val="0"/>
    <w:rPr>
      <w:rFonts w:ascii="??" w:hAnsi="??" w:eastAsia="宋体" w:cs="Times New Roman"/>
      <w:color w:val="00000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en-US"/>
              <a:t>收支总决算</a:t>
            </a:r>
            <a:endParaRPr lang="zh-CN" altLang="en-US"/>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系列 1</c:v>
                </c:pt>
              </c:strCache>
            </c:strRef>
          </c:tx>
          <c:spPr>
            <a:solidFill>
              <a:schemeClr val="accent1"/>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2023                           2024</c:v>
                </c:pt>
              </c:strCache>
            </c:strRef>
          </c:cat>
          <c:val>
            <c:numRef>
              <c:f>Sheet1!$B$2</c:f>
              <c:numCache>
                <c:formatCode>General</c:formatCode>
                <c:ptCount val="1"/>
                <c:pt idx="0">
                  <c:v>2028.37</c:v>
                </c:pt>
              </c:numCache>
            </c:numRef>
          </c:val>
        </c:ser>
        <c:ser>
          <c:idx val="1"/>
          <c:order val="1"/>
          <c:tx>
            <c:strRef>
              <c:f>Sheet1!$C$1</c:f>
              <c:strCache>
                <c:ptCount val="1"/>
                <c:pt idx="0">
                  <c:v>系列 2</c:v>
                </c:pt>
              </c:strCache>
            </c:strRef>
          </c:tx>
          <c:spPr>
            <a:solidFill>
              <a:schemeClr val="accent1"/>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2023                           2024</c:v>
                </c:pt>
              </c:strCache>
            </c:strRef>
          </c:cat>
          <c:val>
            <c:numRef>
              <c:f>Sheet1!$C$2</c:f>
              <c:numCache>
                <c:formatCode>General</c:formatCode>
                <c:ptCount val="1"/>
                <c:pt idx="0">
                  <c:v>1953.43</c:v>
                </c:pt>
              </c:numCache>
            </c:numRef>
          </c:val>
        </c:ser>
        <c:dLbls>
          <c:showLegendKey val="false"/>
          <c:showVal val="true"/>
          <c:showCatName val="false"/>
          <c:showSerName val="false"/>
          <c:showPercent val="false"/>
          <c:showBubbleSize val="false"/>
        </c:dLbls>
        <c:gapWidth val="219"/>
        <c:overlap val="-27"/>
        <c:axId val="64400768"/>
        <c:axId val="64439808"/>
      </c:barChart>
      <c:catAx>
        <c:axId val="64400768"/>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4439808"/>
        <c:crosses val="autoZero"/>
        <c:auto val="true"/>
        <c:lblAlgn val="ctr"/>
        <c:lblOffset val="100"/>
        <c:noMultiLvlLbl val="false"/>
      </c:catAx>
      <c:valAx>
        <c:axId val="64439808"/>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4400768"/>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收入情况</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manualLayout>
                  <c:x val="0.280571729864011"/>
                  <c:y val="-0.102486076435568"/>
                </c:manualLayout>
              </c:layout>
              <c:tx>
                <c:rich>
                  <a:bodyPr rot="0" spcFirstLastPara="1" vertOverflow="ellipsis" vert="horz" wrap="square" lIns="38100" tIns="19050" rIns="38100" bIns="19050" anchor="ctr" anchorCtr="true">
                    <a:noAutofit/>
                  </a:bodyPr>
                  <a:lstStyle/>
                  <a:p>
                    <a:fld id="{90a45c5b-226f-499b-a005-b6f6de336bf6}" type="VALUE">
                      <a:t>[VALUE]</a:t>
                    </a:fld>
                    <a:endParaRPr lang="en-US" altLang="zh-CN" b="0" i="0" u="none" strike="noStrike" baseline="0">
                      <a:latin typeface="Times New Roman" panose="02020603050405020304" charset="0"/>
                      <a:ea typeface="Times New Roman" panose="02020603050405020304" charset="0"/>
                      <a:cs typeface="+mn-ea"/>
                    </a:endParaRPr>
                  </a:p>
                  <a:p>
                    <a:fld id="{5c986e73-1d0d-4877-a19d-0a78928a5698}" type="VALUE">
                      <a:t>[VALUE]</a:t>
                    </a:fld>
                    <a:endParaRPr lang="en-US" altLang="zh-CN" b="0" i="0" u="none" strike="noStrike" baseline="0">
                      <a:latin typeface="Times New Roman" panose="02020603050405020304" charset="0"/>
                      <a:ea typeface="Times New Roman" panose="02020603050405020304" charset="0"/>
                      <a:cs typeface="+mn-ea"/>
                    </a:endParaRPr>
                  </a:p>
                </c:rich>
              </c:tx>
              <c:numFmt formatCode="General" sourceLinked="true"/>
              <c:spPr>
                <a:noFill/>
                <a:ln>
                  <a:noFill/>
                </a:ln>
                <a:effectLst/>
              </c:spPr>
              <c:txPr>
                <a:bodyPr rot="0" spcFirstLastPara="1" vertOverflow="ellipsis" vert="horz" wrap="square" lIns="38100" tIns="19050" rIns="38100" bIns="19050" anchor="ctr" anchorCtr="true">
                  <a:no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259757474949362"/>
                      <c:h val="0.164542922988285"/>
                    </c:manualLayout>
                  </c15:layout>
                </c:ext>
              </c:extLst>
            </c:dLbl>
            <c:dLbl>
              <c:idx val="1"/>
              <c:layout>
                <c:manualLayout>
                  <c:x val="-0.188963210702342"/>
                  <c:y val="0.0639206836950259"/>
                </c:manualLayout>
              </c:layout>
              <c:tx>
                <c:rich>
                  <a:bodyPr rot="0" spcFirstLastPara="1" vertOverflow="ellipsis" vert="horz" wrap="square" lIns="38100" tIns="19050" rIns="38100" bIns="19050" anchor="ctr" anchorCtr="true">
                    <a:noAutofit/>
                  </a:bodyPr>
                  <a:lstStyle/>
                  <a:p>
                    <a:pPr>
                      <a:defRPr lang="zh-CN" sz="900" b="0" i="0" u="none" strike="noStrike" kern="1200" baseline="0">
                        <a:solidFill>
                          <a:schemeClr val="tx1">
                            <a:lumMod val="75000"/>
                            <a:lumOff val="25000"/>
                          </a:schemeClr>
                        </a:solidFill>
                        <a:latin typeface="+mn-lt"/>
                        <a:ea typeface="+mn-ea"/>
                        <a:cs typeface="+mn-cs"/>
                      </a:defRPr>
                    </a:pPr>
                    <a:r>
                      <a:rPr lang="en-US" altLang="zh-CN"/>
                      <a:t>23.96</a:t>
                    </a:r>
                    <a:r>
                      <a:rPr lang="zh-CN" altLang="en-US"/>
                      <a:t>，</a:t>
                    </a:r>
                    <a:endParaRPr lang="en-US" altLang="zh-CN"/>
                  </a:p>
                  <a:p>
                    <a:pPr>
                      <a:defRPr lang="zh-CN" sz="900" b="0" i="0" u="none" strike="noStrike" kern="1200" baseline="0">
                        <a:solidFill>
                          <a:schemeClr val="tx1">
                            <a:lumMod val="75000"/>
                            <a:lumOff val="25000"/>
                          </a:schemeClr>
                        </a:solidFill>
                        <a:latin typeface="+mn-lt"/>
                        <a:ea typeface="+mn-ea"/>
                        <a:cs typeface="+mn-cs"/>
                      </a:defRPr>
                    </a:pPr>
                    <a:r>
                      <a:rPr lang="en-US" altLang="zh-CN"/>
                      <a:t>1.24%</a:t>
                    </a:r>
                    <a:endParaRPr lang="en-US" altLang="zh-CN"/>
                  </a:p>
                </c:rich>
              </c:tx>
              <c:numFmt formatCode="General" sourceLinked="true"/>
              <c:spPr>
                <a:noFill/>
                <a:ln>
                  <a:noFill/>
                </a:ln>
                <a:effectLst/>
              </c:spPr>
              <c:txPr>
                <a:bodyPr rot="0" spcFirstLastPara="1" vertOverflow="ellipsis" vert="horz" wrap="square" lIns="38100" tIns="19050" rIns="38100" bIns="19050" anchor="ctr" anchorCtr="true">
                  <a:no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174749163879599"/>
                      <c:h val="0.179878048780488"/>
                    </c:manualLayout>
                  </c15:layout>
                </c:ext>
              </c:extLst>
            </c:dLbl>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1903.98</c:v>
                </c:pt>
                <c:pt idx="1">
                  <c:v>3.2</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支出分类</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manualLayout>
                  <c:x val="0.161178509532062"/>
                  <c:y val="-0.0512110986126735"/>
                </c:manualLayout>
              </c:layout>
              <c:tx>
                <c:rich>
                  <a:bodyPr rot="0" spcFirstLastPara="1" vertOverflow="ellipsis" vert="horz" wrap="square" lIns="38100" tIns="19050" rIns="38100" bIns="19050" anchor="ctr" anchorCtr="true">
                    <a:noAutofit/>
                  </a:bodyPr>
                  <a:lstStyle/>
                  <a:p>
                    <a:fld id="{d919bed2-0f7c-4cfb-947d-d04b31afed98}" type="VALUE">
                      <a:t>[VALUE]</a:t>
                    </a:fld>
                    <a:endParaRPr lang="en-US" altLang="zh-CN" b="0" i="0" u="none" strike="noStrike" baseline="0">
                      <a:latin typeface="Times New Roman" panose="02020603050405020304" charset="0"/>
                      <a:ea typeface="Times New Roman" panose="02020603050405020304" charset="0"/>
                      <a:cs typeface="+mn-ea"/>
                    </a:endParaRPr>
                  </a:p>
                  <a:p>
                    <a:fld id="{3fbc3a73-9f29-4dcd-8a2b-53492ed4b996}" type="VALUE">
                      <a:t>[VALUE]</a:t>
                    </a:fld>
                    <a:endParaRPr lang="en-US" altLang="zh-CN" b="0" i="0" u="none" strike="noStrike" baseline="0">
                      <a:latin typeface="Times New Roman" panose="02020603050405020304" charset="0"/>
                      <a:ea typeface="Times New Roman" panose="02020603050405020304" charset="0"/>
                      <a:cs typeface="+mn-ea"/>
                    </a:endParaRPr>
                  </a:p>
                </c:rich>
              </c:tx>
              <c:numFmt formatCode="General" sourceLinked="true"/>
              <c:spPr>
                <a:noFill/>
                <a:ln>
                  <a:noFill/>
                </a:ln>
                <a:effectLst/>
              </c:spPr>
              <c:txPr>
                <a:bodyPr rot="0" spcFirstLastPara="1" vertOverflow="ellipsis" vert="horz" wrap="square" lIns="38100" tIns="19050" rIns="38100" bIns="19050" anchor="ctr" anchorCtr="true">
                  <a:no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266897746967071"/>
                      <c:h val="0.163865546218487"/>
                    </c:manualLayout>
                  </c15:layout>
                </c:ext>
              </c:extLst>
            </c:dLbl>
            <c:dLbl>
              <c:idx val="1"/>
              <c:layout>
                <c:manualLayout>
                  <c:x val="-0.0633785941402039"/>
                  <c:y val="0.00518935133108364"/>
                </c:manualLayout>
              </c:layout>
              <c:tx>
                <c:rich>
                  <a:bodyPr rot="0" spcFirstLastPara="1" vertOverflow="ellipsis" vert="horz" wrap="square" lIns="38100" tIns="19050" rIns="38100" bIns="19050" anchor="ctr" anchorCtr="true">
                    <a:noAutofit/>
                  </a:bodyPr>
                  <a:lstStyle/>
                  <a:p>
                    <a:fld id="{4e34e67e-e99c-4e3a-a7f6-15af7c8300dc}" type="VALUE">
                      <a:t>[VALUE]</a:t>
                    </a:fld>
                    <a:endParaRPr lang="en-US" altLang="zh-CN" b="0" i="0" u="none" strike="noStrike" baseline="0">
                      <a:latin typeface="Times New Roman" panose="02020603050405020304" charset="0"/>
                      <a:ea typeface="Times New Roman" panose="02020603050405020304" charset="0"/>
                      <a:cs typeface="+mn-ea"/>
                    </a:endParaRPr>
                  </a:p>
                  <a:p>
                    <a:fld id="{f1b004ed-40b2-40a3-afd9-a37757656829}" type="VALUE">
                      <a:t>[VALUE]</a:t>
                    </a:fld>
                    <a:endParaRPr lang="en-US" altLang="zh-CN" b="0" i="0" u="none" strike="noStrike" baseline="0">
                      <a:latin typeface="Times New Roman" panose="02020603050405020304" charset="0"/>
                      <a:ea typeface="Times New Roman" panose="02020603050405020304" charset="0"/>
                      <a:cs typeface="+mn-ea"/>
                    </a:endParaRPr>
                  </a:p>
                </c:rich>
              </c:tx>
              <c:numFmt formatCode="General" sourceLinked="true"/>
              <c:spPr>
                <a:noFill/>
                <a:ln>
                  <a:noFill/>
                </a:ln>
                <a:effectLst/>
              </c:spPr>
              <c:txPr>
                <a:bodyPr rot="0" spcFirstLastPara="1" vertOverflow="ellipsis" vert="horz" wrap="square" lIns="38100" tIns="19050" rIns="38100" bIns="19050" anchor="ctr" anchorCtr="true">
                  <a:no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173552859618717"/>
                      <c:h val="0.145574450252542"/>
                    </c:manualLayout>
                  </c15:layout>
                </c:ext>
              </c:extLst>
            </c:dLbl>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1673.23</c:v>
                </c:pt>
                <c:pt idx="1">
                  <c:v>230.74</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en-US"/>
              <a:t>财政拨款收、支决算</a:t>
            </a:r>
            <a:endParaRPr lang="zh-CN" altLang="en-US"/>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系列 1</c:v>
                </c:pt>
              </c:strCache>
            </c:strRef>
          </c:tx>
          <c:spPr>
            <a:solidFill>
              <a:schemeClr val="accent1"/>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2023                       2024</c:v>
                </c:pt>
              </c:strCache>
            </c:strRef>
          </c:cat>
          <c:val>
            <c:numRef>
              <c:f>Sheet1!$B$2</c:f>
              <c:numCache>
                <c:formatCode>General</c:formatCode>
                <c:ptCount val="1"/>
                <c:pt idx="0">
                  <c:v>2002.88</c:v>
                </c:pt>
              </c:numCache>
            </c:numRef>
          </c:val>
        </c:ser>
        <c:ser>
          <c:idx val="1"/>
          <c:order val="1"/>
          <c:tx>
            <c:strRef>
              <c:f>Sheet1!$C$1</c:f>
              <c:strCache>
                <c:ptCount val="1"/>
                <c:pt idx="0">
                  <c:v>系列 2</c:v>
                </c:pt>
              </c:strCache>
            </c:strRef>
          </c:tx>
          <c:spPr>
            <a:solidFill>
              <a:schemeClr val="accent1"/>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2023                       2024</c:v>
                </c:pt>
              </c:strCache>
            </c:strRef>
          </c:cat>
          <c:val>
            <c:numRef>
              <c:f>Sheet1!$C$2</c:f>
              <c:numCache>
                <c:formatCode>General</c:formatCode>
                <c:ptCount val="1"/>
                <c:pt idx="0">
                  <c:v>1903.98</c:v>
                </c:pt>
              </c:numCache>
            </c:numRef>
          </c:val>
        </c:ser>
        <c:dLbls>
          <c:showLegendKey val="false"/>
          <c:showVal val="true"/>
          <c:showCatName val="false"/>
          <c:showSerName val="false"/>
          <c:showPercent val="false"/>
          <c:showBubbleSize val="false"/>
        </c:dLbls>
        <c:gapWidth val="219"/>
        <c:overlap val="-27"/>
        <c:axId val="63369600"/>
        <c:axId val="63371136"/>
      </c:barChart>
      <c:catAx>
        <c:axId val="63369600"/>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3371136"/>
        <c:crosses val="autoZero"/>
        <c:auto val="true"/>
        <c:lblAlgn val="ctr"/>
        <c:lblOffset val="100"/>
        <c:noMultiLvlLbl val="false"/>
      </c:catAx>
      <c:valAx>
        <c:axId val="63371136"/>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3369600"/>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en-US"/>
              <a:t>一般</a:t>
            </a:r>
            <a:r>
              <a:rPr lang="zh-CN" altLang="zh-CN" sz="1400" b="0" i="0" u="none" strike="noStrike" baseline="0">
                <a:effectLst/>
              </a:rPr>
              <a:t>公共预算财政拨款支出</a:t>
            </a:r>
            <a:r>
              <a:rPr lang="zh-CN" altLang="en-US" sz="1400" b="0" i="0" u="none" strike="noStrike" baseline="0">
                <a:effectLst/>
              </a:rPr>
              <a:t>决算变动情况</a:t>
            </a:r>
            <a:endParaRPr lang="zh-CN" altLang="en-US"/>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系列 1</c:v>
                </c:pt>
              </c:strCache>
            </c:strRef>
          </c:tx>
          <c:spPr>
            <a:solidFill>
              <a:schemeClr val="accent1"/>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2023                                2024       </c:v>
                </c:pt>
              </c:strCache>
            </c:strRef>
          </c:cat>
          <c:val>
            <c:numRef>
              <c:f>Sheet1!$B$2</c:f>
              <c:numCache>
                <c:formatCode>General</c:formatCode>
                <c:ptCount val="1"/>
                <c:pt idx="0">
                  <c:v>2002.88</c:v>
                </c:pt>
              </c:numCache>
            </c:numRef>
          </c:val>
        </c:ser>
        <c:ser>
          <c:idx val="1"/>
          <c:order val="1"/>
          <c:tx>
            <c:strRef>
              <c:f>Sheet1!$C$1</c:f>
              <c:strCache>
                <c:ptCount val="1"/>
                <c:pt idx="0">
                  <c:v>系列 2</c:v>
                </c:pt>
              </c:strCache>
            </c:strRef>
          </c:tx>
          <c:spPr>
            <a:solidFill>
              <a:schemeClr val="accent1"/>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2023                                2024       </c:v>
                </c:pt>
              </c:strCache>
            </c:strRef>
          </c:cat>
          <c:val>
            <c:numRef>
              <c:f>Sheet1!$C$2</c:f>
              <c:numCache>
                <c:formatCode>General</c:formatCode>
                <c:ptCount val="1"/>
                <c:pt idx="0">
                  <c:v>1903.98</c:v>
                </c:pt>
              </c:numCache>
            </c:numRef>
          </c:val>
        </c:ser>
        <c:dLbls>
          <c:showLegendKey val="false"/>
          <c:showVal val="true"/>
          <c:showCatName val="false"/>
          <c:showSerName val="false"/>
          <c:showPercent val="false"/>
          <c:showBubbleSize val="false"/>
        </c:dLbls>
        <c:gapWidth val="219"/>
        <c:overlap val="-27"/>
        <c:axId val="64334464"/>
        <c:axId val="64369024"/>
      </c:barChart>
      <c:catAx>
        <c:axId val="64334464"/>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4369024"/>
        <c:crosses val="autoZero"/>
        <c:auto val="true"/>
        <c:lblAlgn val="ctr"/>
        <c:lblOffset val="100"/>
        <c:noMultiLvlLbl val="false"/>
      </c:catAx>
      <c:valAx>
        <c:axId val="64369024"/>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4334464"/>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Sheet1!$B$1</c:f>
              <c:strCache>
                <c:ptCount val="1"/>
                <c:pt idx="0">
                  <c:v>一般公共预算财政拨款支出</c:v>
                </c:pt>
              </c:strCache>
            </c:strRef>
          </c:tx>
          <c:explosion val="36"/>
          <c:dPt>
            <c:idx val="0"/>
            <c:bubble3D val="false"/>
          </c:dPt>
          <c:dPt>
            <c:idx val="1"/>
            <c:bubble3D val="false"/>
          </c:dPt>
          <c:dPt>
            <c:idx val="2"/>
            <c:bubble3D val="false"/>
          </c:dPt>
          <c:dLbls>
            <c:dLbl>
              <c:idx val="0"/>
              <c:layout>
                <c:manualLayout>
                  <c:x val="0.0958644592502865"/>
                  <c:y val="-0.129976002999625"/>
                </c:manualLayout>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lang="zh-CN" altLang="en-US"/>
                      <a:t>教育支出</a:t>
                    </a:r>
                    <a:r>
                      <a:rPr lang="en-US" altLang="zh-CN"/>
                      <a:t>1642.92
86.29%</a:t>
                    </a:r>
                    <a:endParaRPr lang="en-US" altLang="zh-CN"/>
                  </a:p>
                </c:rich>
              </c:tx>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1"/>
              <c:layout>
                <c:manualLayout>
                  <c:x val="-0.110456289117706"/>
                  <c:y val="0.308751781027372"/>
                </c:manualLayout>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lang="zh-CN" altLang="en-US"/>
                      <a:t>社会保障和就业支出</a:t>
                    </a:r>
                    <a:endParaRPr lang="zh-CN" altLang="en-US"/>
                  </a:p>
                  <a:p>
                    <a:pPr>
                      <a:defRPr lang="zh-CN" sz="1000" b="0" i="0" u="none" strike="noStrike" kern="1200" baseline="0">
                        <a:solidFill>
                          <a:schemeClr val="tx1"/>
                        </a:solidFill>
                        <a:latin typeface="+mn-lt"/>
                        <a:ea typeface="+mn-ea"/>
                        <a:cs typeface="+mn-cs"/>
                      </a:defRPr>
                    </a:pPr>
                    <a:r>
                      <a:rPr lang="en-US" altLang="zh-CN"/>
                      <a:t>148.26
7.79%</a:t>
                    </a:r>
                    <a:endParaRPr lang="en-US" altLang="zh-CN"/>
                  </a:p>
                </c:rich>
              </c:tx>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2"/>
              <c:layout>
                <c:manualLayout>
                  <c:x val="-0.249333737129013"/>
                  <c:y val="0.0761901012373453"/>
                </c:manualLayout>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lang="zh-CN" altLang="en-US"/>
                      <a:t>住房保障支出</a:t>
                    </a:r>
                    <a:endParaRPr lang="zh-CN" altLang="en-US"/>
                  </a:p>
                  <a:p>
                    <a:pPr>
                      <a:defRPr lang="zh-CN" sz="1000" b="0" i="0" u="none" strike="noStrike" kern="1200" baseline="0">
                        <a:solidFill>
                          <a:schemeClr val="tx1"/>
                        </a:solidFill>
                        <a:latin typeface="+mn-lt"/>
                        <a:ea typeface="+mn-ea"/>
                        <a:cs typeface="+mn-cs"/>
                      </a:defRPr>
                    </a:pPr>
                    <a:r>
                      <a:rPr lang="en-US" altLang="zh-CN"/>
                      <a:t>112.80
5.92%</a:t>
                    </a:r>
                    <a:endParaRPr lang="en-US" altLang="zh-CN"/>
                  </a:p>
                </c:rich>
              </c:tx>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Sheet1!$A$2:$A$4</c:f>
              <c:strCache>
                <c:ptCount val="3"/>
                <c:pt idx="0">
                  <c:v>教育支出</c:v>
                </c:pt>
                <c:pt idx="1">
                  <c:v>社会保障和就业支出</c:v>
                </c:pt>
                <c:pt idx="2">
                  <c:v>住房保障支出</c:v>
                </c:pt>
              </c:strCache>
            </c:strRef>
          </c:cat>
          <c:val>
            <c:numRef>
              <c:f>Sheet1!$B$2:$B$4</c:f>
              <c:numCache>
                <c:formatCode>General</c:formatCode>
                <c:ptCount val="3"/>
                <c:pt idx="0">
                  <c:v>1642.92</c:v>
                </c:pt>
                <c:pt idx="1">
                  <c:v>148.26</c:v>
                </c:pt>
                <c:pt idx="2">
                  <c:v>112.8</c:v>
                </c:pt>
              </c:numCache>
            </c:numRef>
          </c:val>
        </c:ser>
        <c:dLbls>
          <c:showLegendKey val="false"/>
          <c:showVal val="false"/>
          <c:showCatName val="true"/>
          <c:showSerName val="false"/>
          <c:showPercent val="true"/>
          <c:showBubbleSize val="false"/>
          <c:showLeaderLines val="true"/>
        </c:dLbls>
        <c:firstSliceAng val="0"/>
      </c:pieChart>
    </c:plotArea>
    <c:plotVisOnly val="true"/>
    <c:dispBlanksAs val="zero"/>
    <c:showDLblsOverMax val="false"/>
  </c:chart>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40</Pages>
  <Words>2909</Words>
  <Characters>16583</Characters>
  <Lines>138</Lines>
  <Paragraphs>38</Paragraphs>
  <TotalTime>503</TotalTime>
  <ScaleCrop>false</ScaleCrop>
  <LinksUpToDate>false</LinksUpToDate>
  <CharactersWithSpaces>19454</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2020-08-10T01:49:00Z</dcterms:created>
  <dc:creator>曹颖</dc:creator>
  <cp:lastModifiedBy>user</cp:lastModifiedBy>
  <cp:lastPrinted>2025-08-07T09:34:00Z</cp:lastPrinted>
  <dcterms:modified xsi:type="dcterms:W3CDTF">2025-09-19T16:35:29Z</dcterms:modified>
  <dc:title>四川省***</dc:title>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04787F2533EB45DC91BCDE4AB213247F</vt:lpwstr>
  </property>
</Properties>
</file>