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A953">
      <w:pPr>
        <w:pStyle w:val="9"/>
        <w:spacing w:before="93"/>
        <w:ind w:left="420"/>
        <w:jc w:val="center"/>
        <w:rPr>
          <w:rFonts w:ascii="Times New Roman" w:eastAsia="方正小标宋简体"/>
          <w:kern w:val="2"/>
          <w:sz w:val="44"/>
          <w:szCs w:val="44"/>
        </w:rPr>
      </w:pPr>
      <w:bookmarkStart w:id="0" w:name="_Toc15396476"/>
      <w:bookmarkStart w:id="1" w:name="_Toc15377426"/>
      <w:bookmarkStart w:id="2" w:name="_Toc15378442"/>
      <w:bookmarkStart w:id="3" w:name="_Toc15377194"/>
      <w:bookmarkStart w:id="4" w:name="_Toc15396598"/>
      <w:bookmarkStart w:id="5" w:name="_Toc15396475"/>
      <w:bookmarkStart w:id="6" w:name="_Toc15396597"/>
      <w:bookmarkStart w:id="7" w:name="_Toc15377425"/>
      <w:bookmarkStart w:id="8" w:name="_Toc15306267"/>
      <w:bookmarkStart w:id="9" w:name="_Toc15377193"/>
      <w:bookmarkStart w:id="10" w:name="_Toc15378441"/>
    </w:p>
    <w:p w14:paraId="0B62FCFB">
      <w:pPr>
        <w:pStyle w:val="9"/>
        <w:spacing w:before="93"/>
        <w:ind w:left="420"/>
        <w:jc w:val="center"/>
        <w:rPr>
          <w:rFonts w:ascii="Times New Roman" w:eastAsia="方正小标宋简体"/>
          <w:kern w:val="2"/>
          <w:sz w:val="44"/>
          <w:szCs w:val="44"/>
        </w:rPr>
      </w:pPr>
    </w:p>
    <w:p w14:paraId="2EE0D00A">
      <w:pPr>
        <w:pStyle w:val="9"/>
        <w:spacing w:before="93"/>
        <w:ind w:left="420"/>
        <w:jc w:val="center"/>
        <w:rPr>
          <w:rFonts w:ascii="Times New Roman" w:eastAsia="方正小标宋简体"/>
          <w:kern w:val="2"/>
          <w:sz w:val="44"/>
          <w:szCs w:val="44"/>
        </w:rPr>
      </w:pPr>
    </w:p>
    <w:p w14:paraId="75A67DB6">
      <w:pPr>
        <w:pStyle w:val="9"/>
        <w:spacing w:before="93"/>
        <w:ind w:left="420"/>
        <w:jc w:val="center"/>
        <w:rPr>
          <w:rFonts w:ascii="Times New Roman" w:eastAsia="方正小标宋简体"/>
          <w:kern w:val="2"/>
          <w:sz w:val="44"/>
          <w:szCs w:val="44"/>
        </w:rPr>
      </w:pPr>
    </w:p>
    <w:p w14:paraId="766CC597">
      <w:pPr>
        <w:pStyle w:val="9"/>
        <w:spacing w:before="93"/>
        <w:ind w:left="420"/>
        <w:jc w:val="center"/>
        <w:rPr>
          <w:rFonts w:ascii="Times New Roman" w:eastAsia="方正小标宋简体"/>
          <w:kern w:val="2"/>
          <w:sz w:val="44"/>
          <w:szCs w:val="44"/>
        </w:rPr>
      </w:pPr>
    </w:p>
    <w:p w14:paraId="2D245CFE">
      <w:pPr>
        <w:pStyle w:val="9"/>
        <w:spacing w:before="93"/>
        <w:ind w:left="420"/>
        <w:jc w:val="center"/>
        <w:rPr>
          <w:rFonts w:ascii="Times New Roman" w:eastAsia="方正小标宋简体"/>
          <w:kern w:val="2"/>
          <w:sz w:val="44"/>
          <w:szCs w:val="44"/>
        </w:rPr>
      </w:pPr>
    </w:p>
    <w:p w14:paraId="79165473">
      <w:pPr>
        <w:pStyle w:val="9"/>
        <w:spacing w:before="93"/>
        <w:ind w:left="420"/>
        <w:jc w:val="center"/>
        <w:rPr>
          <w:rFonts w:ascii="Times New Roman" w:eastAsia="方正小标宋简体"/>
          <w:kern w:val="2"/>
          <w:sz w:val="44"/>
          <w:szCs w:val="44"/>
        </w:rPr>
      </w:pPr>
    </w:p>
    <w:p w14:paraId="3B77D561">
      <w:pPr>
        <w:pStyle w:val="9"/>
        <w:spacing w:before="93"/>
        <w:ind w:left="420"/>
        <w:jc w:val="center"/>
        <w:rPr>
          <w:rFonts w:ascii="Times New Roman" w:hAnsi="方正小标宋简体" w:eastAsia="方正小标宋简体"/>
          <w:kern w:val="2"/>
          <w:sz w:val="44"/>
          <w:szCs w:val="44"/>
        </w:rPr>
      </w:pPr>
      <w:r>
        <w:rPr>
          <w:rFonts w:ascii="Times New Roman" w:eastAsia="方正小标宋简体"/>
          <w:kern w:val="2"/>
          <w:sz w:val="44"/>
          <w:szCs w:val="44"/>
        </w:rPr>
        <w:t>2024</w:t>
      </w:r>
      <w:r>
        <w:rPr>
          <w:rFonts w:hint="eastAsia" w:ascii="Times New Roman" w:hAnsi="方正小标宋简体" w:eastAsia="方正小标宋简体"/>
          <w:kern w:val="2"/>
          <w:sz w:val="44"/>
          <w:szCs w:val="44"/>
        </w:rPr>
        <w:t>年度</w:t>
      </w:r>
    </w:p>
    <w:p w14:paraId="3BBE6503">
      <w:pPr>
        <w:pStyle w:val="9"/>
        <w:spacing w:before="93"/>
        <w:ind w:left="420"/>
        <w:jc w:val="center"/>
        <w:rPr>
          <w:rFonts w:ascii="Times New Roman" w:eastAsia="方正小标宋简体"/>
          <w:kern w:val="2"/>
          <w:sz w:val="44"/>
          <w:szCs w:val="44"/>
        </w:rPr>
      </w:pPr>
      <w:r>
        <w:rPr>
          <w:rFonts w:hint="eastAsia" w:ascii="Times New Roman" w:hAnsi="方正小标宋简体" w:eastAsia="方正小标宋简体"/>
          <w:kern w:val="2"/>
          <w:sz w:val="44"/>
          <w:szCs w:val="44"/>
        </w:rPr>
        <w:t>四川省</w:t>
      </w:r>
      <w:bookmarkStart w:id="11" w:name="_Toc15306268"/>
      <w:r>
        <w:rPr>
          <w:rFonts w:hint="eastAsia" w:ascii="Times New Roman" w:eastAsia="方正小标宋简体"/>
          <w:kern w:val="2"/>
          <w:sz w:val="44"/>
          <w:szCs w:val="44"/>
        </w:rPr>
        <w:t>攀枝花市仁和区江林小学</w:t>
      </w:r>
    </w:p>
    <w:p w14:paraId="769B4BB7">
      <w:pPr>
        <w:pStyle w:val="9"/>
        <w:spacing w:before="93"/>
        <w:ind w:left="420"/>
        <w:jc w:val="center"/>
        <w:rPr>
          <w:rFonts w:ascii="Times New Roman" w:eastAsia="方正小标宋简体"/>
          <w:kern w:val="2"/>
          <w:sz w:val="44"/>
          <w:szCs w:val="44"/>
        </w:rPr>
      </w:pPr>
      <w:r>
        <w:rPr>
          <w:rFonts w:hint="eastAsia" w:ascii="Times New Roman" w:hAnsi="方正小标宋简体" w:eastAsia="方正小标宋简体"/>
          <w:kern w:val="2"/>
          <w:sz w:val="44"/>
          <w:szCs w:val="44"/>
        </w:rPr>
        <w:t>部门决算</w:t>
      </w:r>
      <w:bookmarkEnd w:id="0"/>
      <w:bookmarkEnd w:id="1"/>
      <w:bookmarkEnd w:id="2"/>
      <w:bookmarkEnd w:id="3"/>
      <w:bookmarkEnd w:id="4"/>
      <w:bookmarkEnd w:id="11"/>
    </w:p>
    <w:p w14:paraId="3A33ED21">
      <w:pPr>
        <w:pStyle w:val="9"/>
        <w:spacing w:before="93"/>
        <w:rPr>
          <w:rFonts w:ascii="Times New Roman" w:eastAsia="方正小标宋简体"/>
          <w:kern w:val="2"/>
          <w:sz w:val="72"/>
          <w:szCs w:val="72"/>
        </w:rPr>
      </w:pPr>
    </w:p>
    <w:p w14:paraId="7F982ABD">
      <w:pPr>
        <w:pStyle w:val="9"/>
        <w:spacing w:before="93"/>
        <w:rPr>
          <w:rFonts w:ascii="Times New Roman" w:eastAsia="方正小标宋简体"/>
          <w:kern w:val="2"/>
          <w:sz w:val="72"/>
          <w:szCs w:val="72"/>
        </w:rPr>
      </w:pPr>
    </w:p>
    <w:p w14:paraId="13C4995D">
      <w:pPr>
        <w:pStyle w:val="9"/>
        <w:spacing w:before="93"/>
        <w:rPr>
          <w:rFonts w:ascii="Times New Roman" w:eastAsia="方正小标宋简体"/>
          <w:kern w:val="2"/>
          <w:sz w:val="72"/>
          <w:szCs w:val="72"/>
        </w:rPr>
      </w:pPr>
    </w:p>
    <w:bookmarkEnd w:id="5"/>
    <w:bookmarkEnd w:id="6"/>
    <w:bookmarkEnd w:id="7"/>
    <w:bookmarkEnd w:id="8"/>
    <w:bookmarkEnd w:id="9"/>
    <w:bookmarkEnd w:id="10"/>
    <w:p w14:paraId="17C34537">
      <w:pPr>
        <w:widowControl/>
        <w:jc w:val="center"/>
        <w:rPr>
          <w:rFonts w:ascii="黑体" w:hAnsi="黑体" w:eastAsia="黑体" w:cs="黑体"/>
          <w:color w:val="000000"/>
          <w:sz w:val="48"/>
          <w:szCs w:val="48"/>
        </w:rPr>
      </w:pPr>
      <w:bookmarkStart w:id="12" w:name="_Toc15396599"/>
      <w:bookmarkStart w:id="13" w:name="_Toc15377196"/>
    </w:p>
    <w:p w14:paraId="2B2ECAF5">
      <w:pPr>
        <w:widowControl/>
        <w:jc w:val="center"/>
        <w:rPr>
          <w:rFonts w:ascii="黑体" w:hAnsi="黑体" w:eastAsia="黑体" w:cs="黑体"/>
          <w:color w:val="000000"/>
          <w:sz w:val="48"/>
          <w:szCs w:val="48"/>
        </w:rPr>
      </w:pPr>
    </w:p>
    <w:p w14:paraId="6A6D354B">
      <w:pPr>
        <w:widowControl/>
        <w:jc w:val="center"/>
        <w:rPr>
          <w:rFonts w:ascii="黑体" w:hAnsi="黑体" w:eastAsia="黑体" w:cs="黑体"/>
          <w:color w:val="000000"/>
          <w:sz w:val="48"/>
          <w:szCs w:val="48"/>
        </w:rPr>
      </w:pPr>
    </w:p>
    <w:p w14:paraId="5CAD9D32">
      <w:pPr>
        <w:widowControl/>
        <w:jc w:val="center"/>
        <w:rPr>
          <w:rFonts w:ascii="黑体" w:hAnsi="黑体" w:eastAsia="黑体" w:cs="黑体"/>
          <w:color w:val="000000"/>
          <w:sz w:val="48"/>
          <w:szCs w:val="48"/>
        </w:rPr>
      </w:pPr>
    </w:p>
    <w:p w14:paraId="1D8DD0E3">
      <w:pPr>
        <w:widowControl/>
        <w:spacing w:after="160" w:line="278" w:lineRule="auto"/>
        <w:jc w:val="center"/>
        <w:rPr>
          <w:rFonts w:ascii="黑体" w:hAnsi="黑体" w:eastAsia="黑体" w:cs="黑体"/>
          <w:color w:val="000000"/>
          <w:sz w:val="48"/>
          <w:szCs w:val="48"/>
        </w:rPr>
      </w:pPr>
      <w:r>
        <w:rPr>
          <w:rFonts w:hint="eastAsia" w:ascii="黑体" w:hAnsi="黑体" w:eastAsia="黑体" w:cs="黑体"/>
          <w:color w:val="000000"/>
          <w:sz w:val="48"/>
          <w:szCs w:val="48"/>
        </w:rPr>
        <w:t>目录</w:t>
      </w:r>
    </w:p>
    <w:p w14:paraId="27F044A9">
      <w:pPr>
        <w:pStyle w:val="16"/>
        <w:tabs>
          <w:tab w:val="right" w:leader="dot" w:pos="8296"/>
        </w:tabs>
        <w:spacing w:before="93" w:after="160" w:line="278" w:lineRule="auto"/>
        <w:jc w:val="center"/>
        <w:rPr>
          <w:rFonts w:ascii="仿宋" w:hAnsi="仿宋" w:eastAsia="仿宋" w:cs="仿宋"/>
          <w:b w:val="0"/>
          <w:bCs w:val="0"/>
          <w:caps w:val="0"/>
          <w:sz w:val="28"/>
          <w:szCs w:val="28"/>
        </w:rPr>
      </w:pPr>
      <w:r>
        <w:rPr>
          <w:rFonts w:hint="eastAsia" w:ascii="仿宋" w:hAnsi="仿宋" w:eastAsia="仿宋" w:cs="仿宋"/>
          <w:b w:val="0"/>
          <w:bCs w:val="0"/>
          <w:caps w:val="0"/>
          <w:sz w:val="28"/>
          <w:szCs w:val="28"/>
        </w:rPr>
        <w:t>公开时间：2025年9 月18 日</w:t>
      </w:r>
    </w:p>
    <w:p w14:paraId="33090965">
      <w:pPr>
        <w:pStyle w:val="16"/>
        <w:tabs>
          <w:tab w:val="right" w:leader="dot" w:pos="8296"/>
        </w:tabs>
        <w:spacing w:line="240" w:lineRule="exact"/>
        <w:rPr>
          <w:rFonts w:eastAsiaTheme="minorEastAsia" w:cstheme="minorBidi"/>
          <w:b w:val="0"/>
          <w:bCs w:val="0"/>
          <w:caps w:val="0"/>
          <w:sz w:val="22"/>
          <w:szCs w:val="24"/>
        </w:rPr>
      </w:pPr>
      <w:r>
        <w:rPr>
          <w:b w:val="0"/>
          <w:bCs w:val="0"/>
          <w:caps w:val="0"/>
        </w:rPr>
        <w:fldChar w:fldCharType="begin"/>
      </w:r>
      <w:r>
        <w:rPr>
          <w:b w:val="0"/>
          <w:bCs w:val="0"/>
          <w:caps w:val="0"/>
        </w:rPr>
        <w:instrText xml:space="preserve"> TOC \o "1-2" \u </w:instrText>
      </w:r>
      <w:r>
        <w:rPr>
          <w:b w:val="0"/>
          <w:bCs w:val="0"/>
          <w:caps w:val="0"/>
        </w:rPr>
        <w:fldChar w:fldCharType="separate"/>
      </w:r>
      <w:r>
        <w:rPr>
          <w:rFonts w:hint="eastAsia" w:ascii="仿宋" w:hAnsi="仿宋" w:eastAsia="仿宋" w:cs="仿宋"/>
          <w:caps w:val="0"/>
          <w:kern w:val="0"/>
          <w:sz w:val="24"/>
          <w:szCs w:val="24"/>
        </w:rPr>
        <w:t>第一部分  部门概况</w:t>
      </w:r>
      <w:r>
        <w:rPr>
          <w:rFonts w:hint="eastAsia"/>
        </w:rPr>
        <w:tab/>
      </w:r>
      <w:r>
        <w:rPr>
          <w:rFonts w:hint="eastAsia"/>
        </w:rPr>
        <w:fldChar w:fldCharType="begin"/>
      </w:r>
      <w:r>
        <w:instrText xml:space="preserve">PAGEREF _Toc208166976 \h</w:instrText>
      </w:r>
      <w:r>
        <w:rPr>
          <w:rFonts w:hint="eastAsia"/>
        </w:rPr>
        <w:fldChar w:fldCharType="separate"/>
      </w:r>
      <w:r>
        <w:t>3</w:t>
      </w:r>
      <w:r>
        <w:rPr>
          <w:rFonts w:hint="eastAsia"/>
        </w:rPr>
        <w:fldChar w:fldCharType="end"/>
      </w:r>
    </w:p>
    <w:p w14:paraId="3A4E90E1">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一、部门职责</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_Toc208166977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3</w:t>
      </w:r>
      <w:r>
        <w:rPr>
          <w:rFonts w:hint="eastAsia" w:asciiTheme="majorEastAsia" w:hAnsiTheme="majorEastAsia" w:eastAsiaTheme="majorEastAsia" w:cstheme="majorEastAsia"/>
          <w:sz w:val="21"/>
          <w:szCs w:val="21"/>
        </w:rPr>
        <w:fldChar w:fldCharType="end"/>
      </w:r>
    </w:p>
    <w:p w14:paraId="52401FC8">
      <w:pPr>
        <w:pStyle w:val="42"/>
        <w:tabs>
          <w:tab w:val="right" w:leader="dot" w:pos="8306"/>
        </w:tabs>
        <w:spacing w:line="240" w:lineRule="exact"/>
        <w:ind w:left="420"/>
        <w:rPr>
          <w:rFonts w:eastAsiaTheme="minorEastAsia" w:cstheme="minorBidi"/>
          <w:smallCaps/>
          <w:sz w:val="22"/>
          <w:szCs w:val="24"/>
        </w:rPr>
      </w:pPr>
      <w:r>
        <w:rPr>
          <w:rFonts w:hint="eastAsia" w:asciiTheme="majorEastAsia" w:hAnsiTheme="majorEastAsia" w:eastAsiaTheme="majorEastAsia" w:cstheme="majorEastAsia"/>
          <w:sz w:val="21"/>
          <w:szCs w:val="21"/>
        </w:rPr>
        <w:t>二、机构设置</w:t>
      </w:r>
      <w:r>
        <w:rPr>
          <w:rFonts w:hint="eastAsia"/>
        </w:rPr>
        <w:tab/>
      </w:r>
      <w:r>
        <w:rPr>
          <w:rFonts w:hint="eastAsia"/>
        </w:rPr>
        <w:fldChar w:fldCharType="begin"/>
      </w:r>
      <w:r>
        <w:instrText xml:space="preserve">PAGEREF _Toc208166978 \h</w:instrText>
      </w:r>
      <w:r>
        <w:rPr>
          <w:rFonts w:hint="eastAsia"/>
        </w:rPr>
        <w:fldChar w:fldCharType="separate"/>
      </w:r>
      <w:r>
        <w:t>4</w:t>
      </w:r>
      <w:r>
        <w:rPr>
          <w:rFonts w:hint="eastAsia"/>
        </w:rPr>
        <w:fldChar w:fldCharType="end"/>
      </w:r>
    </w:p>
    <w:p w14:paraId="783EF0FE">
      <w:pPr>
        <w:pStyle w:val="16"/>
        <w:tabs>
          <w:tab w:val="right" w:leader="dot" w:pos="8296"/>
        </w:tabs>
        <w:spacing w:line="240" w:lineRule="exact"/>
        <w:rPr>
          <w:rFonts w:eastAsiaTheme="minorEastAsia" w:cstheme="minorBidi"/>
          <w:b w:val="0"/>
          <w:bCs w:val="0"/>
          <w:caps w:val="0"/>
          <w:sz w:val="22"/>
          <w:szCs w:val="24"/>
        </w:rPr>
      </w:pPr>
      <w:r>
        <w:rPr>
          <w:rFonts w:hint="eastAsia" w:ascii="仿宋" w:hAnsi="仿宋" w:eastAsia="仿宋" w:cs="仿宋"/>
          <w:caps w:val="0"/>
          <w:kern w:val="0"/>
          <w:sz w:val="24"/>
          <w:szCs w:val="24"/>
        </w:rPr>
        <w:t>第二部分  2024年度部门决算情况说明</w:t>
      </w:r>
      <w:r>
        <w:rPr>
          <w:rFonts w:hint="eastAsia"/>
        </w:rPr>
        <w:tab/>
      </w:r>
      <w:r>
        <w:rPr>
          <w:rFonts w:hint="eastAsia"/>
        </w:rPr>
        <w:fldChar w:fldCharType="begin"/>
      </w:r>
      <w:r>
        <w:instrText xml:space="preserve">PAGEREF _Toc208166979 \h</w:instrText>
      </w:r>
      <w:r>
        <w:rPr>
          <w:rFonts w:hint="eastAsia"/>
        </w:rPr>
        <w:fldChar w:fldCharType="separate"/>
      </w:r>
      <w:r>
        <w:t>5</w:t>
      </w:r>
      <w:r>
        <w:rPr>
          <w:rFonts w:hint="eastAsia"/>
        </w:rPr>
        <w:fldChar w:fldCharType="end"/>
      </w:r>
    </w:p>
    <w:p w14:paraId="3D20048F">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一、收入支出决算总体情况说明</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_Toc208166980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5</w:t>
      </w:r>
      <w:r>
        <w:rPr>
          <w:rFonts w:hint="eastAsia" w:asciiTheme="majorEastAsia" w:hAnsiTheme="majorEastAsia" w:eastAsiaTheme="majorEastAsia" w:cstheme="majorEastAsia"/>
          <w:sz w:val="21"/>
          <w:szCs w:val="21"/>
        </w:rPr>
        <w:fldChar w:fldCharType="end"/>
      </w:r>
    </w:p>
    <w:p w14:paraId="78118D70">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二、收入决算情况说明</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_Toc208166981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5</w:t>
      </w:r>
      <w:r>
        <w:rPr>
          <w:rFonts w:hint="eastAsia" w:asciiTheme="majorEastAsia" w:hAnsiTheme="majorEastAsia" w:eastAsiaTheme="majorEastAsia" w:cstheme="majorEastAsia"/>
          <w:sz w:val="21"/>
          <w:szCs w:val="21"/>
        </w:rPr>
        <w:fldChar w:fldCharType="end"/>
      </w:r>
    </w:p>
    <w:p w14:paraId="2ABA7F2B">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三、支出决算情况说明</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_Toc208166982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6</w:t>
      </w:r>
      <w:r>
        <w:rPr>
          <w:rFonts w:hint="eastAsia" w:asciiTheme="majorEastAsia" w:hAnsiTheme="majorEastAsia" w:eastAsiaTheme="majorEastAsia" w:cstheme="majorEastAsia"/>
          <w:sz w:val="21"/>
          <w:szCs w:val="21"/>
        </w:rPr>
        <w:fldChar w:fldCharType="end"/>
      </w:r>
    </w:p>
    <w:p w14:paraId="6F297C23">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四、财政拨款收入支出决算总体情况说明</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_Toc208166983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7</w:t>
      </w:r>
      <w:r>
        <w:rPr>
          <w:rFonts w:hint="eastAsia" w:asciiTheme="majorEastAsia" w:hAnsiTheme="majorEastAsia" w:eastAsiaTheme="majorEastAsia" w:cstheme="majorEastAsia"/>
          <w:sz w:val="21"/>
          <w:szCs w:val="21"/>
        </w:rPr>
        <w:fldChar w:fldCharType="end"/>
      </w:r>
    </w:p>
    <w:p w14:paraId="4399429A">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五、一般公共预算财政拨款支出决算情况说明</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_Toc208166984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7</w:t>
      </w:r>
      <w:r>
        <w:rPr>
          <w:rFonts w:hint="eastAsia" w:asciiTheme="majorEastAsia" w:hAnsiTheme="majorEastAsia" w:eastAsiaTheme="majorEastAsia" w:cstheme="majorEastAsia"/>
          <w:sz w:val="21"/>
          <w:szCs w:val="21"/>
        </w:rPr>
        <w:fldChar w:fldCharType="end"/>
      </w:r>
    </w:p>
    <w:p w14:paraId="6A5DA71F">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六、一般公共预算财政拨款基本支出决算情况说明</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_Toc208166985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9</w:t>
      </w:r>
      <w:r>
        <w:rPr>
          <w:rFonts w:hint="eastAsia" w:asciiTheme="majorEastAsia" w:hAnsiTheme="majorEastAsia" w:eastAsiaTheme="majorEastAsia" w:cstheme="majorEastAsia"/>
          <w:sz w:val="21"/>
          <w:szCs w:val="21"/>
        </w:rPr>
        <w:fldChar w:fldCharType="end"/>
      </w:r>
    </w:p>
    <w:p w14:paraId="1F3234A1">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七、财政拨款“三公”经费支出决算情况说明</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_Toc208166986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10</w:t>
      </w:r>
      <w:r>
        <w:rPr>
          <w:rFonts w:hint="eastAsia" w:asciiTheme="majorEastAsia" w:hAnsiTheme="majorEastAsia" w:eastAsiaTheme="majorEastAsia" w:cstheme="majorEastAsia"/>
          <w:sz w:val="21"/>
          <w:szCs w:val="21"/>
        </w:rPr>
        <w:fldChar w:fldCharType="end"/>
      </w:r>
    </w:p>
    <w:p w14:paraId="236F9A8A">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八、政府性基金预算支出决算情况说明</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_Toc208166987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11</w:t>
      </w:r>
      <w:r>
        <w:rPr>
          <w:rFonts w:hint="eastAsia" w:asciiTheme="majorEastAsia" w:hAnsiTheme="majorEastAsia" w:eastAsiaTheme="majorEastAsia" w:cstheme="majorEastAsia"/>
          <w:sz w:val="21"/>
          <w:szCs w:val="21"/>
        </w:rPr>
        <w:fldChar w:fldCharType="end"/>
      </w:r>
    </w:p>
    <w:p w14:paraId="27851501">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九、国有资本经营预算支出决算情况说明</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_Toc208166988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11</w:t>
      </w:r>
      <w:r>
        <w:rPr>
          <w:rFonts w:hint="eastAsia" w:asciiTheme="majorEastAsia" w:hAnsiTheme="majorEastAsia" w:eastAsiaTheme="majorEastAsia" w:cstheme="majorEastAsia"/>
          <w:sz w:val="21"/>
          <w:szCs w:val="21"/>
        </w:rPr>
        <w:fldChar w:fldCharType="end"/>
      </w:r>
    </w:p>
    <w:p w14:paraId="5685FA63">
      <w:pPr>
        <w:pStyle w:val="42"/>
        <w:tabs>
          <w:tab w:val="right" w:leader="dot" w:pos="8306"/>
        </w:tabs>
        <w:spacing w:line="240" w:lineRule="exact"/>
        <w:ind w:left="420"/>
        <w:rPr>
          <w:rFonts w:eastAsiaTheme="minorEastAsia" w:cstheme="minorBidi"/>
          <w:smallCaps/>
          <w:sz w:val="22"/>
          <w:szCs w:val="24"/>
        </w:rPr>
      </w:pPr>
      <w:r>
        <w:rPr>
          <w:rFonts w:hint="eastAsia" w:asciiTheme="majorEastAsia" w:hAnsiTheme="majorEastAsia" w:eastAsiaTheme="majorEastAsia" w:cstheme="majorEastAsia"/>
          <w:sz w:val="21"/>
          <w:szCs w:val="21"/>
        </w:rPr>
        <w:t>十、其他重要事项的情况说明</w:t>
      </w:r>
      <w:r>
        <w:rPr>
          <w:rFonts w:hint="eastAsia"/>
        </w:rPr>
        <w:tab/>
      </w:r>
      <w:r>
        <w:rPr>
          <w:rFonts w:hint="eastAsia"/>
        </w:rPr>
        <w:fldChar w:fldCharType="begin"/>
      </w:r>
      <w:r>
        <w:instrText xml:space="preserve">PAGEREF _Toc208166989 \h</w:instrText>
      </w:r>
      <w:r>
        <w:rPr>
          <w:rFonts w:hint="eastAsia"/>
        </w:rPr>
        <w:fldChar w:fldCharType="separate"/>
      </w:r>
      <w:r>
        <w:t>11</w:t>
      </w:r>
      <w:r>
        <w:rPr>
          <w:rFonts w:hint="eastAsia"/>
        </w:rPr>
        <w:fldChar w:fldCharType="end"/>
      </w:r>
    </w:p>
    <w:p w14:paraId="78155AAC">
      <w:pPr>
        <w:pStyle w:val="16"/>
        <w:tabs>
          <w:tab w:val="right" w:leader="dot" w:pos="8296"/>
        </w:tabs>
        <w:spacing w:line="240" w:lineRule="exact"/>
        <w:rPr>
          <w:rFonts w:eastAsiaTheme="minorEastAsia" w:cstheme="minorBidi"/>
          <w:b w:val="0"/>
          <w:bCs w:val="0"/>
          <w:caps w:val="0"/>
          <w:sz w:val="22"/>
          <w:szCs w:val="24"/>
        </w:rPr>
      </w:pPr>
      <w:r>
        <w:rPr>
          <w:rFonts w:hint="eastAsia" w:ascii="仿宋" w:hAnsi="仿宋" w:eastAsia="仿宋" w:cs="仿宋"/>
          <w:caps w:val="0"/>
          <w:kern w:val="0"/>
          <w:sz w:val="24"/>
          <w:szCs w:val="24"/>
        </w:rPr>
        <w:t>第三部分  名词解释</w:t>
      </w:r>
      <w:r>
        <w:rPr>
          <w:rFonts w:hint="eastAsia"/>
        </w:rPr>
        <w:tab/>
      </w:r>
      <w:r>
        <w:rPr>
          <w:rFonts w:hint="eastAsia"/>
        </w:rPr>
        <w:fldChar w:fldCharType="begin"/>
      </w:r>
      <w:r>
        <w:instrText xml:space="preserve">PAGEREF _Toc208166990 \h</w:instrText>
      </w:r>
      <w:r>
        <w:rPr>
          <w:rFonts w:hint="eastAsia"/>
        </w:rPr>
        <w:fldChar w:fldCharType="separate"/>
      </w:r>
      <w:r>
        <w:t>13</w:t>
      </w:r>
      <w:r>
        <w:rPr>
          <w:rFonts w:hint="eastAsia"/>
        </w:rPr>
        <w:fldChar w:fldCharType="end"/>
      </w:r>
    </w:p>
    <w:p w14:paraId="4EAC1EBC">
      <w:pPr>
        <w:pStyle w:val="16"/>
        <w:tabs>
          <w:tab w:val="right" w:leader="dot" w:pos="8296"/>
        </w:tabs>
        <w:spacing w:line="240" w:lineRule="exact"/>
        <w:rPr>
          <w:rFonts w:eastAsiaTheme="minorEastAsia" w:cstheme="minorBidi"/>
          <w:b w:val="0"/>
          <w:bCs w:val="0"/>
          <w:caps w:val="0"/>
          <w:sz w:val="22"/>
          <w:szCs w:val="24"/>
        </w:rPr>
      </w:pPr>
      <w:r>
        <w:rPr>
          <w:rFonts w:hint="eastAsia" w:ascii="仿宋" w:hAnsi="仿宋" w:eastAsia="仿宋" w:cs="仿宋"/>
          <w:caps w:val="0"/>
          <w:kern w:val="0"/>
          <w:sz w:val="24"/>
          <w:szCs w:val="24"/>
        </w:rPr>
        <w:t>第四部分  附件</w:t>
      </w:r>
      <w:r>
        <w:rPr>
          <w:rFonts w:hint="eastAsia"/>
        </w:rPr>
        <w:tab/>
      </w:r>
      <w:r>
        <w:rPr>
          <w:rFonts w:hint="eastAsia"/>
        </w:rPr>
        <w:fldChar w:fldCharType="begin"/>
      </w:r>
      <w:r>
        <w:instrText xml:space="preserve">PAGEREF _Toc208166991 \h</w:instrText>
      </w:r>
      <w:r>
        <w:rPr>
          <w:rFonts w:hint="eastAsia"/>
        </w:rPr>
        <w:fldChar w:fldCharType="separate"/>
      </w:r>
      <w:r>
        <w:t>16</w:t>
      </w:r>
      <w:r>
        <w:rPr>
          <w:rFonts w:hint="eastAsia"/>
        </w:rPr>
        <w:fldChar w:fldCharType="end"/>
      </w:r>
    </w:p>
    <w:p w14:paraId="08C2F39E">
      <w:pPr>
        <w:pStyle w:val="16"/>
        <w:tabs>
          <w:tab w:val="right" w:leader="dot" w:pos="8296"/>
        </w:tabs>
        <w:spacing w:line="240" w:lineRule="exact"/>
        <w:rPr>
          <w:rFonts w:eastAsiaTheme="minorEastAsia" w:cstheme="minorBidi"/>
          <w:b w:val="0"/>
          <w:bCs w:val="0"/>
          <w:caps w:val="0"/>
          <w:sz w:val="22"/>
          <w:szCs w:val="24"/>
        </w:rPr>
      </w:pPr>
      <w:r>
        <w:rPr>
          <w:rFonts w:hint="eastAsia" w:ascii="仿宋" w:hAnsi="仿宋" w:eastAsia="仿宋" w:cs="仿宋"/>
          <w:caps w:val="0"/>
          <w:kern w:val="0"/>
          <w:sz w:val="24"/>
          <w:szCs w:val="24"/>
        </w:rPr>
        <w:t>第五部分 附表</w:t>
      </w:r>
      <w:r>
        <w:rPr>
          <w:rFonts w:hint="eastAsia"/>
        </w:rPr>
        <w:tab/>
      </w:r>
      <w:r>
        <w:rPr>
          <w:rFonts w:hint="eastAsia"/>
        </w:rPr>
        <w:fldChar w:fldCharType="begin"/>
      </w:r>
      <w:r>
        <w:instrText xml:space="preserve">PAGEREF _Toc208166992 \h</w:instrText>
      </w:r>
      <w:r>
        <w:rPr>
          <w:rFonts w:hint="eastAsia"/>
        </w:rPr>
        <w:fldChar w:fldCharType="separate"/>
      </w:r>
      <w:r>
        <w:t>42</w:t>
      </w:r>
      <w:r>
        <w:rPr>
          <w:rFonts w:hint="eastAsia"/>
        </w:rPr>
        <w:fldChar w:fldCharType="end"/>
      </w:r>
    </w:p>
    <w:p w14:paraId="10618828">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mallCaps/>
          <w:sz w:val="21"/>
          <w:szCs w:val="21"/>
        </w:rPr>
        <w:t>一</w:t>
      </w:r>
      <w:r>
        <w:rPr>
          <w:rFonts w:hint="eastAsia" w:asciiTheme="majorEastAsia" w:hAnsiTheme="majorEastAsia" w:eastAsiaTheme="majorEastAsia" w:cstheme="majorEastAsia"/>
          <w:sz w:val="21"/>
          <w:szCs w:val="21"/>
        </w:rPr>
        <w:t>、收入支出决算总表</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_Toc208166993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42</w:t>
      </w:r>
      <w:r>
        <w:rPr>
          <w:rFonts w:hint="eastAsia" w:asciiTheme="majorEastAsia" w:hAnsiTheme="majorEastAsia" w:eastAsiaTheme="majorEastAsia" w:cstheme="majorEastAsia"/>
          <w:sz w:val="21"/>
          <w:szCs w:val="21"/>
        </w:rPr>
        <w:fldChar w:fldCharType="end"/>
      </w:r>
    </w:p>
    <w:p w14:paraId="25BAE57C">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二、收入决算表</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_Toc208166994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42</w:t>
      </w:r>
      <w:r>
        <w:rPr>
          <w:rFonts w:hint="eastAsia" w:asciiTheme="majorEastAsia" w:hAnsiTheme="majorEastAsia" w:eastAsiaTheme="majorEastAsia" w:cstheme="majorEastAsia"/>
          <w:sz w:val="21"/>
          <w:szCs w:val="21"/>
        </w:rPr>
        <w:fldChar w:fldCharType="end"/>
      </w:r>
    </w:p>
    <w:p w14:paraId="0DA4CD5C">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三、支出决算表</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_Toc208166995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42</w:t>
      </w:r>
      <w:r>
        <w:rPr>
          <w:rFonts w:hint="eastAsia" w:asciiTheme="majorEastAsia" w:hAnsiTheme="majorEastAsia" w:eastAsiaTheme="majorEastAsia" w:cstheme="majorEastAsia"/>
          <w:sz w:val="21"/>
          <w:szCs w:val="21"/>
        </w:rPr>
        <w:fldChar w:fldCharType="end"/>
      </w:r>
    </w:p>
    <w:p w14:paraId="4FDBCF1E">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四、财政拨款收入支出决算总表</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_Toc208166996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42</w:t>
      </w:r>
      <w:r>
        <w:rPr>
          <w:rFonts w:hint="eastAsia" w:asciiTheme="majorEastAsia" w:hAnsiTheme="majorEastAsia" w:eastAsiaTheme="majorEastAsia" w:cstheme="majorEastAsia"/>
          <w:sz w:val="21"/>
          <w:szCs w:val="21"/>
        </w:rPr>
        <w:fldChar w:fldCharType="end"/>
      </w:r>
    </w:p>
    <w:p w14:paraId="21DCC96C">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五、财政拨款支出决算明细表</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_Toc208166997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42</w:t>
      </w:r>
      <w:r>
        <w:rPr>
          <w:rFonts w:hint="eastAsia" w:asciiTheme="majorEastAsia" w:hAnsiTheme="majorEastAsia" w:eastAsiaTheme="majorEastAsia" w:cstheme="majorEastAsia"/>
          <w:sz w:val="21"/>
          <w:szCs w:val="21"/>
        </w:rPr>
        <w:fldChar w:fldCharType="end"/>
      </w:r>
    </w:p>
    <w:p w14:paraId="51C64A5A">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六、一般公共预算财政拨款支出决算表</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_Toc208166998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42</w:t>
      </w:r>
      <w:r>
        <w:rPr>
          <w:rFonts w:hint="eastAsia" w:asciiTheme="majorEastAsia" w:hAnsiTheme="majorEastAsia" w:eastAsiaTheme="majorEastAsia" w:cstheme="majorEastAsia"/>
          <w:sz w:val="21"/>
          <w:szCs w:val="21"/>
        </w:rPr>
        <w:fldChar w:fldCharType="end"/>
      </w:r>
    </w:p>
    <w:p w14:paraId="2983B08E">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七、一般公共预算财政拨款支出决算明细表</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_Toc208166999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42</w:t>
      </w:r>
      <w:r>
        <w:rPr>
          <w:rFonts w:hint="eastAsia" w:asciiTheme="majorEastAsia" w:hAnsiTheme="majorEastAsia" w:eastAsiaTheme="majorEastAsia" w:cstheme="majorEastAsia"/>
          <w:sz w:val="21"/>
          <w:szCs w:val="21"/>
        </w:rPr>
        <w:fldChar w:fldCharType="end"/>
      </w:r>
    </w:p>
    <w:p w14:paraId="6AA75932">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八、一般公共预算财政拨款基本支出决算表</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_Toc208167000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42</w:t>
      </w:r>
      <w:r>
        <w:rPr>
          <w:rFonts w:hint="eastAsia" w:asciiTheme="majorEastAsia" w:hAnsiTheme="majorEastAsia" w:eastAsiaTheme="majorEastAsia" w:cstheme="majorEastAsia"/>
          <w:sz w:val="21"/>
          <w:szCs w:val="21"/>
        </w:rPr>
        <w:fldChar w:fldCharType="end"/>
      </w:r>
    </w:p>
    <w:p w14:paraId="3EF6DA22">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九、一般公共预算财政拨款项目支出决算表</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_Toc208167001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42</w:t>
      </w:r>
      <w:r>
        <w:rPr>
          <w:rFonts w:hint="eastAsia" w:asciiTheme="majorEastAsia" w:hAnsiTheme="majorEastAsia" w:eastAsiaTheme="majorEastAsia" w:cstheme="majorEastAsia"/>
          <w:sz w:val="21"/>
          <w:szCs w:val="21"/>
        </w:rPr>
        <w:fldChar w:fldCharType="end"/>
      </w:r>
    </w:p>
    <w:p w14:paraId="07A08263">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十、政府性基金预算财政拨款收入支出决算表</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_Toc208167002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42</w:t>
      </w:r>
      <w:r>
        <w:rPr>
          <w:rFonts w:hint="eastAsia" w:asciiTheme="majorEastAsia" w:hAnsiTheme="majorEastAsia" w:eastAsiaTheme="majorEastAsia" w:cstheme="majorEastAsia"/>
          <w:sz w:val="21"/>
          <w:szCs w:val="21"/>
        </w:rPr>
        <w:fldChar w:fldCharType="end"/>
      </w:r>
    </w:p>
    <w:p w14:paraId="16A05D0E">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十一、国有资本经营预算财政拨款收入支出决算表</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_Toc208167003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42</w:t>
      </w:r>
      <w:r>
        <w:rPr>
          <w:rFonts w:hint="eastAsia" w:asciiTheme="majorEastAsia" w:hAnsiTheme="majorEastAsia" w:eastAsiaTheme="majorEastAsia" w:cstheme="majorEastAsia"/>
          <w:sz w:val="21"/>
          <w:szCs w:val="21"/>
        </w:rPr>
        <w:fldChar w:fldCharType="end"/>
      </w:r>
    </w:p>
    <w:p w14:paraId="21410774">
      <w:pPr>
        <w:pStyle w:val="42"/>
        <w:tabs>
          <w:tab w:val="right" w:leader="dot" w:pos="8306"/>
        </w:tabs>
        <w:spacing w:line="240" w:lineRule="exact"/>
        <w:ind w:left="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十二、国有资本经营预算财政拨款支出决算表</w:t>
      </w:r>
      <w:r>
        <w:rPr>
          <w:rFonts w:hint="eastAsia" w:asciiTheme="majorEastAsia" w:hAnsiTheme="majorEastAsia" w:eastAsiaTheme="majorEastAsia" w:cstheme="majorEastAsia"/>
          <w:sz w:val="21"/>
          <w:szCs w:val="21"/>
        </w:rPr>
        <w:tab/>
      </w:r>
      <w:r>
        <w:rPr>
          <w:rFonts w:hint="eastAsia"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PAGEREF _Toc208167004 \h</w:instrText>
      </w:r>
      <w:r>
        <w:rPr>
          <w:rFonts w:hint="eastAsia"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42</w:t>
      </w:r>
      <w:r>
        <w:rPr>
          <w:rFonts w:hint="eastAsia" w:asciiTheme="majorEastAsia" w:hAnsiTheme="majorEastAsia" w:eastAsiaTheme="majorEastAsia" w:cstheme="majorEastAsia"/>
          <w:sz w:val="21"/>
          <w:szCs w:val="21"/>
        </w:rPr>
        <w:fldChar w:fldCharType="end"/>
      </w:r>
    </w:p>
    <w:p w14:paraId="09FD4E81">
      <w:pPr>
        <w:pStyle w:val="42"/>
        <w:tabs>
          <w:tab w:val="right" w:leader="dot" w:pos="8306"/>
        </w:tabs>
        <w:spacing w:line="240" w:lineRule="exact"/>
        <w:ind w:left="420"/>
        <w:rPr>
          <w:rFonts w:eastAsiaTheme="minorEastAsia" w:cstheme="minorBidi"/>
          <w:b/>
          <w:bCs/>
          <w:caps/>
          <w:sz w:val="22"/>
          <w:szCs w:val="24"/>
        </w:rPr>
      </w:pPr>
      <w:r>
        <w:rPr>
          <w:rFonts w:hint="eastAsia" w:asciiTheme="majorEastAsia" w:hAnsiTheme="majorEastAsia" w:eastAsiaTheme="majorEastAsia" w:cstheme="majorEastAsia"/>
          <w:sz w:val="21"/>
          <w:szCs w:val="21"/>
        </w:rPr>
        <w:t>十三、财政拨款“三公”经费支出决算表</w:t>
      </w:r>
      <w:r>
        <w:rPr>
          <w:rFonts w:hint="eastAsia"/>
        </w:rPr>
        <w:tab/>
      </w:r>
      <w:r>
        <w:rPr>
          <w:rFonts w:hint="eastAsia"/>
        </w:rPr>
        <w:fldChar w:fldCharType="begin"/>
      </w:r>
      <w:r>
        <w:instrText xml:space="preserve">PAGEREF _Toc208167005 \h</w:instrText>
      </w:r>
      <w:r>
        <w:rPr>
          <w:rFonts w:hint="eastAsia"/>
        </w:rPr>
        <w:fldChar w:fldCharType="separate"/>
      </w:r>
      <w:r>
        <w:t>42</w:t>
      </w:r>
      <w:r>
        <w:rPr>
          <w:rFonts w:hint="eastAsia"/>
        </w:rPr>
        <w:fldChar w:fldCharType="end"/>
      </w:r>
    </w:p>
    <w:p w14:paraId="357D14EF">
      <w:pPr>
        <w:spacing w:line="240" w:lineRule="exact"/>
      </w:pPr>
      <w:r>
        <w:rPr>
          <w:rFonts w:asciiTheme="minorHAnsi" w:hAnsiTheme="minorHAnsi" w:cstheme="minorHAnsi"/>
          <w:b/>
          <w:bCs/>
          <w:caps/>
          <w:sz w:val="20"/>
          <w:szCs w:val="20"/>
        </w:rPr>
        <w:fldChar w:fldCharType="end"/>
      </w:r>
    </w:p>
    <w:p w14:paraId="7ACAE0C7">
      <w:pPr>
        <w:pStyle w:val="2"/>
      </w:pPr>
    </w:p>
    <w:p w14:paraId="52B00220">
      <w:pPr>
        <w:pStyle w:val="5"/>
        <w:jc w:val="center"/>
        <w:rPr>
          <w:rFonts w:eastAsia="方正小标宋简体" w:cs="方正小标宋简体"/>
          <w:bCs w:val="0"/>
        </w:rPr>
      </w:pPr>
      <w:bookmarkStart w:id="14" w:name="_Toc208166643"/>
      <w:bookmarkStart w:id="15" w:name="_Toc208166853"/>
      <w:bookmarkStart w:id="16" w:name="_Toc208166976"/>
      <w:r>
        <w:rPr>
          <w:rFonts w:hint="eastAsia" w:eastAsia="方正小标宋简体" w:cs="方正小标宋简体"/>
          <w:b w:val="0"/>
        </w:rPr>
        <w:t>第一部分</w:t>
      </w:r>
      <w:r>
        <w:rPr>
          <w:rStyle w:val="34"/>
          <w:rFonts w:hint="eastAsia" w:eastAsia="方正小标宋简体" w:cs="方正小标宋简体"/>
          <w:b w:val="0"/>
          <w:bCs w:val="0"/>
        </w:rPr>
        <w:t>部门概况</w:t>
      </w:r>
      <w:bookmarkEnd w:id="12"/>
      <w:bookmarkEnd w:id="13"/>
      <w:bookmarkEnd w:id="14"/>
      <w:bookmarkEnd w:id="15"/>
      <w:bookmarkEnd w:id="16"/>
    </w:p>
    <w:p w14:paraId="55CCE016">
      <w:pPr>
        <w:pStyle w:val="6"/>
        <w:numPr>
          <w:ilvl w:val="0"/>
          <w:numId w:val="1"/>
        </w:numPr>
        <w:rPr>
          <w:rFonts w:ascii="Times New Roman" w:hAnsi="Times New Roman" w:eastAsia="黑体"/>
          <w:b w:val="0"/>
        </w:rPr>
      </w:pPr>
      <w:bookmarkStart w:id="17" w:name="_Toc208166854"/>
      <w:bookmarkStart w:id="18" w:name="_Toc208166644"/>
      <w:bookmarkStart w:id="19" w:name="_Toc208166977"/>
      <w:r>
        <w:rPr>
          <w:rFonts w:hint="eastAsia" w:ascii="Times New Roman" w:hAnsi="Times New Roman" w:eastAsia="黑体"/>
          <w:b w:val="0"/>
        </w:rPr>
        <w:t>部门职责</w:t>
      </w:r>
      <w:bookmarkEnd w:id="17"/>
      <w:bookmarkEnd w:id="18"/>
      <w:bookmarkEnd w:id="19"/>
    </w:p>
    <w:p w14:paraId="6A2FDB8F">
      <w:pPr>
        <w:pStyle w:val="9"/>
        <w:adjustRightInd w:val="0"/>
        <w:snapToGrid w:val="0"/>
        <w:spacing w:before="93" w:line="600" w:lineRule="exact"/>
        <w:outlineLvl w:val="2"/>
        <w:rPr>
          <w:rFonts w:ascii="仿宋" w:hAnsi="仿宋" w:eastAsia="仿宋" w:cs="仿宋"/>
          <w:bCs/>
          <w:sz w:val="32"/>
          <w:szCs w:val="32"/>
        </w:rPr>
      </w:pPr>
      <w:r>
        <w:rPr>
          <w:rFonts w:hint="eastAsia" w:ascii="仿宋" w:hAnsi="仿宋" w:eastAsia="仿宋" w:cs="仿宋"/>
          <w:bCs/>
          <w:sz w:val="32"/>
          <w:szCs w:val="32"/>
        </w:rPr>
        <w:t>1. 完成九年义务教育小学阶段的义务教育。</w:t>
      </w:r>
    </w:p>
    <w:p w14:paraId="341A08A4">
      <w:pPr>
        <w:pStyle w:val="9"/>
        <w:adjustRightInd w:val="0"/>
        <w:snapToGrid w:val="0"/>
        <w:spacing w:before="93" w:line="600" w:lineRule="exact"/>
        <w:ind w:firstLine="320" w:firstLineChars="100"/>
        <w:outlineLvl w:val="2"/>
        <w:rPr>
          <w:rFonts w:ascii="仿宋" w:hAnsi="仿宋" w:eastAsia="仿宋" w:cs="仿宋"/>
          <w:bCs/>
          <w:sz w:val="32"/>
          <w:szCs w:val="32"/>
        </w:rPr>
      </w:pPr>
      <w:r>
        <w:rPr>
          <w:rFonts w:hint="eastAsia" w:ascii="仿宋" w:hAnsi="仿宋" w:eastAsia="仿宋" w:cs="仿宋"/>
          <w:bCs/>
          <w:sz w:val="32"/>
          <w:szCs w:val="32"/>
        </w:rPr>
        <w:t>（1）宣传贯彻执行党和国家的教育方针、政策、法律法规等，坚持依法治教、依法治学，贯彻执行县教体局的行政规章制度。</w:t>
      </w:r>
    </w:p>
    <w:p w14:paraId="515576E5">
      <w:pPr>
        <w:pStyle w:val="9"/>
        <w:adjustRightInd w:val="0"/>
        <w:snapToGrid w:val="0"/>
        <w:spacing w:before="93" w:line="600" w:lineRule="exact"/>
        <w:ind w:firstLine="320" w:firstLineChars="100"/>
        <w:outlineLvl w:val="2"/>
        <w:rPr>
          <w:rFonts w:ascii="仿宋" w:hAnsi="仿宋" w:eastAsia="仿宋" w:cs="仿宋"/>
          <w:bCs/>
          <w:sz w:val="32"/>
          <w:szCs w:val="32"/>
        </w:rPr>
      </w:pPr>
      <w:r>
        <w:rPr>
          <w:rFonts w:hint="eastAsia" w:ascii="仿宋" w:hAnsi="仿宋" w:eastAsia="仿宋" w:cs="仿宋"/>
          <w:bCs/>
          <w:sz w:val="32"/>
          <w:szCs w:val="32"/>
        </w:rPr>
        <w:t>（2）配合攀枝花市教育局制定符合党的教育方针和国家教育法律法规以及本校实际的教育发展规划和学校布局调整规划，并抓好组织实施和落实工作。</w:t>
      </w:r>
    </w:p>
    <w:p w14:paraId="6DC175FC">
      <w:pPr>
        <w:pStyle w:val="9"/>
        <w:adjustRightInd w:val="0"/>
        <w:snapToGrid w:val="0"/>
        <w:spacing w:before="93" w:line="600" w:lineRule="exact"/>
        <w:ind w:firstLine="320" w:firstLineChars="100"/>
        <w:outlineLvl w:val="2"/>
        <w:rPr>
          <w:rFonts w:ascii="仿宋" w:hAnsi="仿宋" w:eastAsia="仿宋" w:cs="仿宋"/>
          <w:bCs/>
          <w:sz w:val="32"/>
          <w:szCs w:val="32"/>
        </w:rPr>
      </w:pPr>
      <w:r>
        <w:rPr>
          <w:rFonts w:hint="eastAsia" w:ascii="仿宋" w:hAnsi="仿宋" w:eastAsia="仿宋" w:cs="仿宋"/>
          <w:bCs/>
          <w:sz w:val="32"/>
          <w:szCs w:val="32"/>
        </w:rPr>
        <w:t>（3）巩固提高“两基”工作成果和整体水平，配合各级人民政府依法动员、组织适龄儿童少年入学，严格控制辍学。负责抓所在镇的成人教育工作，抓好扫盲和巩固工作，推进普及义务教育。</w:t>
      </w:r>
    </w:p>
    <w:p w14:paraId="2E1732A0">
      <w:pPr>
        <w:pStyle w:val="6"/>
        <w:rPr>
          <w:rStyle w:val="35"/>
          <w:rFonts w:ascii="Times New Roman" w:hAnsi="Times New Roman"/>
          <w:b w:val="0"/>
          <w:bCs w:val="0"/>
        </w:rPr>
      </w:pPr>
      <w:bookmarkStart w:id="20" w:name="_Toc208166855"/>
      <w:bookmarkStart w:id="21" w:name="_Toc208166645"/>
      <w:bookmarkStart w:id="22" w:name="_Toc15377200"/>
      <w:bookmarkStart w:id="23" w:name="_Toc15396601"/>
      <w:bookmarkStart w:id="24" w:name="_Toc208166978"/>
      <w:r>
        <w:rPr>
          <w:rFonts w:hint="eastAsia" w:ascii="Times New Roman" w:hAnsi="Times New Roman" w:eastAsia="黑体"/>
          <w:b w:val="0"/>
        </w:rPr>
        <w:t>二、机</w:t>
      </w:r>
      <w:r>
        <w:rPr>
          <w:rStyle w:val="35"/>
          <w:rFonts w:hint="eastAsia" w:ascii="Times New Roman" w:hAnsi="Times New Roman" w:eastAsia="黑体"/>
          <w:b w:val="0"/>
          <w:bCs w:val="0"/>
        </w:rPr>
        <w:t>构设置</w:t>
      </w:r>
      <w:bookmarkEnd w:id="20"/>
      <w:bookmarkEnd w:id="21"/>
      <w:bookmarkEnd w:id="22"/>
      <w:bookmarkEnd w:id="23"/>
      <w:bookmarkEnd w:id="24"/>
    </w:p>
    <w:p w14:paraId="0D8CD747">
      <w:pPr>
        <w:ind w:firstLine="800"/>
        <w:rPr>
          <w:rFonts w:ascii="仿宋" w:hAnsi="仿宋" w:eastAsia="仿宋" w:cs="仿宋"/>
          <w:sz w:val="32"/>
          <w:szCs w:val="32"/>
        </w:rPr>
      </w:pPr>
      <w:r>
        <w:rPr>
          <w:rFonts w:hint="eastAsia" w:ascii="仿宋" w:hAnsi="仿宋" w:eastAsia="仿宋" w:cs="仿宋"/>
          <w:sz w:val="32"/>
          <w:szCs w:val="32"/>
          <w:lang w:val="zh-CN"/>
        </w:rPr>
        <w:t>四川省攀枝花市仁和区江林小学</w:t>
      </w:r>
      <w:r>
        <w:rPr>
          <w:rFonts w:hint="eastAsia" w:ascii="仿宋" w:hAnsi="仿宋" w:eastAsia="仿宋" w:cs="仿宋"/>
          <w:sz w:val="32"/>
          <w:szCs w:val="32"/>
        </w:rPr>
        <w:t>下属二级单位0个，其中行政单位0个，参照公务员法管理的事业单位0个，其他事业单位0个。</w:t>
      </w:r>
    </w:p>
    <w:p w14:paraId="5653651E">
      <w:pPr>
        <w:pStyle w:val="9"/>
        <w:adjustRightInd w:val="0"/>
        <w:snapToGrid w:val="0"/>
        <w:spacing w:before="93" w:line="600" w:lineRule="exact"/>
        <w:ind w:firstLine="672" w:firstLineChars="210"/>
        <w:outlineLvl w:val="2"/>
        <w:rPr>
          <w:rFonts w:ascii="仿宋" w:hAnsi="仿宋" w:eastAsia="仿宋" w:cs="仿宋"/>
          <w:kern w:val="2"/>
          <w:sz w:val="32"/>
          <w:szCs w:val="32"/>
        </w:rPr>
      </w:pPr>
      <w:r>
        <w:rPr>
          <w:rFonts w:hint="eastAsia" w:ascii="仿宋" w:hAnsi="仿宋" w:eastAsia="仿宋" w:cs="仿宋"/>
          <w:sz w:val="32"/>
          <w:szCs w:val="32"/>
        </w:rPr>
        <w:t>攀枝花市仁和区江林小学二级事业单位1个。</w:t>
      </w:r>
      <w:r>
        <w:rPr>
          <w:rFonts w:hint="eastAsia" w:ascii="仿宋" w:hAnsi="仿宋" w:eastAsia="仿宋" w:cs="仿宋"/>
          <w:kern w:val="2"/>
          <w:sz w:val="32"/>
          <w:szCs w:val="32"/>
        </w:rPr>
        <w:t>共设教务、总务、德育、办公室4个职能部门。共有20名在职教师，6名退休教师。截至2024年12月31日江林小学共有10个教学班级，359名学生。</w:t>
      </w:r>
      <w:bookmarkStart w:id="25" w:name="_Toc15377204"/>
      <w:bookmarkStart w:id="26" w:name="_Toc15396602"/>
    </w:p>
    <w:p w14:paraId="543D801E">
      <w:pPr>
        <w:pStyle w:val="5"/>
        <w:jc w:val="center"/>
        <w:rPr>
          <w:rFonts w:eastAsia="方正小标宋简体" w:cs="方正小标宋简体"/>
          <w:b w:val="0"/>
        </w:rPr>
      </w:pPr>
      <w:bookmarkStart w:id="27" w:name="_Toc208166646"/>
      <w:bookmarkStart w:id="28" w:name="_Toc208166856"/>
      <w:bookmarkStart w:id="29" w:name="_Toc208166979"/>
      <w:r>
        <w:rPr>
          <w:rFonts w:hint="eastAsia" w:eastAsia="方正小标宋简体" w:cs="方正小标宋简体"/>
          <w:b w:val="0"/>
        </w:rPr>
        <w:t>第二部分  2024年度部门决算情况说明</w:t>
      </w:r>
      <w:bookmarkEnd w:id="25"/>
      <w:bookmarkEnd w:id="26"/>
      <w:bookmarkEnd w:id="27"/>
      <w:bookmarkEnd w:id="28"/>
      <w:bookmarkEnd w:id="29"/>
      <w:bookmarkStart w:id="30" w:name="_Toc15396603"/>
      <w:bookmarkStart w:id="31" w:name="_Toc15377205"/>
    </w:p>
    <w:p w14:paraId="31C9F247">
      <w:pPr>
        <w:pStyle w:val="6"/>
        <w:numPr>
          <w:ilvl w:val="0"/>
          <w:numId w:val="1"/>
        </w:numPr>
        <w:rPr>
          <w:rFonts w:ascii="Times New Roman" w:hAnsi="Times New Roman" w:eastAsia="黑体"/>
          <w:bCs w:val="0"/>
        </w:rPr>
      </w:pPr>
      <w:bookmarkStart w:id="32" w:name="_Toc208166647"/>
      <w:bookmarkStart w:id="33" w:name="_Toc208166857"/>
      <w:bookmarkStart w:id="34" w:name="_Toc208166980"/>
      <w:r>
        <w:rPr>
          <w:rFonts w:hint="eastAsia" w:ascii="Times New Roman" w:hAnsi="Times New Roman" w:eastAsia="黑体"/>
          <w:b w:val="0"/>
        </w:rPr>
        <w:t>收</w:t>
      </w:r>
      <w:r>
        <w:rPr>
          <w:rFonts w:hint="eastAsia"/>
          <w:bCs w:val="0"/>
        </w:rPr>
        <w:t>入支出决算总体情况说明</w:t>
      </w:r>
      <w:bookmarkEnd w:id="30"/>
      <w:bookmarkEnd w:id="31"/>
      <w:bookmarkEnd w:id="32"/>
      <w:bookmarkEnd w:id="33"/>
      <w:bookmarkEnd w:id="34"/>
    </w:p>
    <w:p w14:paraId="0CA066D6">
      <w:pPr>
        <w:ind w:firstLine="800"/>
        <w:rPr>
          <w:rFonts w:ascii="仿宋" w:hAnsi="仿宋" w:eastAsia="仿宋" w:cs="仿宋"/>
          <w:sz w:val="32"/>
          <w:szCs w:val="32"/>
          <w:lang w:val="zh-CN"/>
        </w:rPr>
      </w:pPr>
      <w:r>
        <w:rPr>
          <w:rFonts w:hint="eastAsia" w:ascii="仿宋" w:hAnsi="仿宋" w:eastAsia="仿宋" w:cs="仿宋"/>
          <w:sz w:val="32"/>
          <w:szCs w:val="32"/>
          <w:lang w:val="zh-CN"/>
        </w:rPr>
        <w:t>2024年度收入、支出总计均为720.69万元。与2023年度相比，收入、支出总计各增加110.8万元，增长18.17%。主要变动原因是正常的人员工资晋级的增加和把课后服务费纳入收入范畴。</w:t>
      </w:r>
      <w:bookmarkStart w:id="35" w:name="_Toc208166858"/>
      <w:bookmarkStart w:id="36" w:name="_Toc208166648"/>
    </w:p>
    <w:p w14:paraId="52A1E194">
      <w:pPr>
        <w:ind w:firstLine="800"/>
        <w:rPr>
          <w:rFonts w:ascii="仿宋" w:hAnsi="仿宋" w:eastAsia="仿宋" w:cs="仿宋"/>
          <w:sz w:val="32"/>
          <w:szCs w:val="32"/>
          <w:lang w:val="zh-CN"/>
        </w:rPr>
      </w:pPr>
      <w:r>
        <w:rPr>
          <w:rFonts w:hint="eastAsia" w:eastAsia="仿宋_GB2312" w:cs="仿宋_GB2312"/>
          <w:sz w:val="32"/>
          <w:szCs w:val="32"/>
        </w:rPr>
        <w:t>（图1：收入、支出决算总计变动情况图）（柱状图）</w:t>
      </w:r>
      <w:bookmarkEnd w:id="35"/>
      <w:bookmarkEnd w:id="36"/>
    </w:p>
    <w:p w14:paraId="09682FF3">
      <w:pPr>
        <w:ind w:firstLine="640" w:firstLineChars="200"/>
        <w:rPr>
          <w:rFonts w:eastAsia="仿宋_GB2312" w:cs="仿宋_GB2312"/>
          <w:sz w:val="32"/>
          <w:szCs w:val="32"/>
        </w:rPr>
      </w:pPr>
      <w:r>
        <w:rPr>
          <w:rFonts w:eastAsia="仿宋_GB2312" w:cs="仿宋_GB2312"/>
          <w:sz w:val="32"/>
          <w:szCs w:val="32"/>
        </w:rPr>
        <w:drawing>
          <wp:inline distT="0" distB="0" distL="0" distR="0">
            <wp:extent cx="3917950" cy="2381250"/>
            <wp:effectExtent l="0" t="0" r="6350" b="0"/>
            <wp:docPr id="15527582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E4A560D">
      <w:pPr>
        <w:pStyle w:val="33"/>
        <w:spacing w:line="600" w:lineRule="exact"/>
        <w:ind w:firstLine="640"/>
        <w:outlineLvl w:val="1"/>
        <w:rPr>
          <w:rFonts w:eastAsia="黑体"/>
          <w:sz w:val="32"/>
          <w:szCs w:val="32"/>
        </w:rPr>
      </w:pPr>
      <w:bookmarkStart w:id="37" w:name="_Toc15377206"/>
      <w:bookmarkStart w:id="38" w:name="_Toc208166649"/>
      <w:bookmarkStart w:id="39" w:name="_Toc15396604"/>
      <w:bookmarkStart w:id="40" w:name="_Toc208166981"/>
      <w:bookmarkStart w:id="41" w:name="_Toc208166859"/>
      <w:r>
        <w:rPr>
          <w:rFonts w:hint="eastAsia" w:eastAsia="黑体"/>
          <w:sz w:val="32"/>
          <w:szCs w:val="32"/>
        </w:rPr>
        <w:t>二、收入决算情况说明</w:t>
      </w:r>
      <w:bookmarkEnd w:id="37"/>
      <w:bookmarkEnd w:id="38"/>
      <w:bookmarkEnd w:id="39"/>
      <w:bookmarkEnd w:id="40"/>
      <w:bookmarkEnd w:id="41"/>
    </w:p>
    <w:p w14:paraId="343BB2AA">
      <w:pPr>
        <w:ind w:firstLine="800"/>
        <w:rPr>
          <w:rFonts w:ascii="仿宋" w:hAnsi="仿宋" w:eastAsia="仿宋" w:cs="仿宋"/>
          <w:sz w:val="32"/>
          <w:szCs w:val="32"/>
          <w:lang w:val="zh-CN"/>
        </w:rPr>
      </w:pPr>
      <w:r>
        <w:rPr>
          <w:rFonts w:hint="eastAsia" w:ascii="仿宋" w:hAnsi="仿宋" w:eastAsia="仿宋" w:cs="仿宋"/>
          <w:sz w:val="32"/>
          <w:szCs w:val="32"/>
          <w:lang w:val="zh-CN"/>
        </w:rPr>
        <w:t>2024年度本年收入合计697.86万元，其中：一般公共预算财政拨款收入657.09万元，占94.15%；政府性基金预算财政拨款收入0万元，占0%；国有资本经营预算财政拨款收入0万元，占0%；上级补助收入0万元，占0%；事业收入0万元，占0%；经营收入0万元，占0%；附属单位上缴收入0万元，占0%；其他收入40.77万元，占5.84%。</w:t>
      </w:r>
      <w:bookmarkStart w:id="42" w:name="_Toc208166650"/>
      <w:r>
        <w:rPr>
          <w:rFonts w:hint="eastAsia" w:eastAsia="仿宋_GB2312" w:cs="仿宋_GB2312"/>
          <w:b/>
          <w:bCs/>
          <w:sz w:val="32"/>
          <w:szCs w:val="32"/>
        </w:rPr>
        <w:t>（注：仅罗列本部门涉及的收入）</w:t>
      </w:r>
      <w:bookmarkEnd w:id="42"/>
    </w:p>
    <w:p w14:paraId="2CEA10AB">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35DB6EFF">
      <w:pPr>
        <w:pStyle w:val="2"/>
      </w:pPr>
      <w:r>
        <w:drawing>
          <wp:inline distT="0" distB="0" distL="0" distR="0">
            <wp:extent cx="4305300" cy="2622550"/>
            <wp:effectExtent l="0" t="0" r="0" b="6350"/>
            <wp:docPr id="84367285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9EC1A9">
      <w:pPr>
        <w:pStyle w:val="33"/>
        <w:spacing w:line="600" w:lineRule="exact"/>
        <w:ind w:firstLine="640"/>
        <w:outlineLvl w:val="1"/>
        <w:rPr>
          <w:rStyle w:val="35"/>
          <w:rFonts w:ascii="Times New Roman" w:hAnsi="Times New Roman" w:eastAsia="黑体"/>
          <w:b w:val="0"/>
        </w:rPr>
      </w:pPr>
      <w:bookmarkStart w:id="43" w:name="_Toc208166860"/>
      <w:bookmarkStart w:id="44" w:name="_Toc208166982"/>
      <w:bookmarkStart w:id="45" w:name="_Toc15377207"/>
      <w:bookmarkStart w:id="46" w:name="_Toc15396605"/>
      <w:bookmarkStart w:id="47" w:name="_Toc208166651"/>
      <w:r>
        <w:rPr>
          <w:rFonts w:hint="eastAsia" w:eastAsia="黑体"/>
          <w:sz w:val="32"/>
          <w:szCs w:val="32"/>
        </w:rPr>
        <w:t>三、支</w:t>
      </w:r>
      <w:r>
        <w:rPr>
          <w:rStyle w:val="35"/>
          <w:rFonts w:hint="eastAsia" w:ascii="Times New Roman" w:hAnsi="Times New Roman" w:eastAsia="黑体"/>
          <w:b w:val="0"/>
        </w:rPr>
        <w:t>出决算情况说明</w:t>
      </w:r>
      <w:bookmarkEnd w:id="43"/>
      <w:bookmarkEnd w:id="44"/>
      <w:bookmarkEnd w:id="45"/>
      <w:bookmarkEnd w:id="46"/>
      <w:bookmarkEnd w:id="47"/>
    </w:p>
    <w:p w14:paraId="5FE8185D">
      <w:pPr>
        <w:ind w:firstLine="800"/>
        <w:rPr>
          <w:rFonts w:ascii="仿宋" w:hAnsi="仿宋" w:eastAsia="仿宋" w:cs="仿宋"/>
          <w:sz w:val="32"/>
          <w:szCs w:val="32"/>
          <w:lang w:val="zh-CN"/>
        </w:rPr>
      </w:pPr>
      <w:r>
        <w:rPr>
          <w:rFonts w:hint="eastAsia" w:ascii="仿宋" w:hAnsi="仿宋" w:eastAsia="仿宋" w:cs="仿宋"/>
          <w:sz w:val="32"/>
          <w:szCs w:val="32"/>
          <w:lang w:val="zh-CN"/>
        </w:rPr>
        <w:t>2024年度本年支出合计698.86万元，其中：基本支出523.25万元，占74.87%；项目支出175.61万元，占25.12%；上缴上级支出0万元，占0%；经营支出0万元，占0%；对附属单位补助支出0万元，占0%。</w:t>
      </w:r>
      <w:bookmarkStart w:id="48" w:name="_Toc208166652"/>
      <w:r>
        <w:rPr>
          <w:rFonts w:hint="eastAsia" w:eastAsia="仿宋_GB2312" w:cs="仿宋_GB2312"/>
          <w:b/>
          <w:bCs/>
          <w:sz w:val="32"/>
          <w:szCs w:val="32"/>
        </w:rPr>
        <w:t>（注：仅罗列本部门涉及的支出）</w:t>
      </w:r>
      <w:bookmarkEnd w:id="48"/>
    </w:p>
    <w:p w14:paraId="21D5B068">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25C7BBA0">
      <w:pPr>
        <w:pStyle w:val="2"/>
      </w:pPr>
      <w:r>
        <w:rPr>
          <w:rFonts w:hint="eastAsia"/>
        </w:rPr>
        <w:drawing>
          <wp:inline distT="0" distB="0" distL="0" distR="0">
            <wp:extent cx="3860800" cy="2237740"/>
            <wp:effectExtent l="0" t="0" r="6350" b="10160"/>
            <wp:docPr id="44707233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FDBE5">
      <w:pPr>
        <w:pStyle w:val="3"/>
        <w:ind w:left="420"/>
      </w:pPr>
    </w:p>
    <w:p w14:paraId="300D2837">
      <w:pPr>
        <w:spacing w:line="600" w:lineRule="exact"/>
        <w:ind w:firstLine="640" w:firstLineChars="200"/>
        <w:outlineLvl w:val="1"/>
        <w:rPr>
          <w:rStyle w:val="35"/>
          <w:rFonts w:ascii="Times New Roman" w:hAnsi="Times New Roman" w:eastAsia="黑体"/>
          <w:b w:val="0"/>
        </w:rPr>
      </w:pPr>
      <w:bookmarkStart w:id="49" w:name="_Toc15396606"/>
      <w:bookmarkStart w:id="50" w:name="_Toc208166983"/>
      <w:bookmarkStart w:id="51" w:name="_Toc208166861"/>
      <w:bookmarkStart w:id="52" w:name="_Toc208166653"/>
      <w:bookmarkStart w:id="53" w:name="_Toc15377208"/>
      <w:r>
        <w:rPr>
          <w:rFonts w:hint="eastAsia" w:eastAsia="黑体"/>
          <w:sz w:val="32"/>
          <w:szCs w:val="32"/>
        </w:rPr>
        <w:t>四、财</w:t>
      </w:r>
      <w:r>
        <w:rPr>
          <w:rStyle w:val="35"/>
          <w:rFonts w:hint="eastAsia" w:ascii="Times New Roman" w:hAnsi="Times New Roman" w:eastAsia="黑体"/>
          <w:b w:val="0"/>
        </w:rPr>
        <w:t>政拨款收入支出决算总体情况说明</w:t>
      </w:r>
      <w:bookmarkEnd w:id="49"/>
      <w:bookmarkEnd w:id="50"/>
      <w:bookmarkEnd w:id="51"/>
      <w:bookmarkEnd w:id="52"/>
      <w:bookmarkEnd w:id="53"/>
    </w:p>
    <w:p w14:paraId="7D349CBA">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2024年度财政拨款收入、支出总计均为657.09万元。与2023年度相比，财政拨款收入总计、支出总计各增加84.9万元，增长14.84%。</w:t>
      </w:r>
      <w:r>
        <w:rPr>
          <w:rFonts w:hint="eastAsia" w:ascii="仿宋" w:hAnsi="仿宋" w:eastAsia="仿宋" w:cs="仿宋"/>
          <w:color w:val="000000"/>
          <w:sz w:val="32"/>
          <w:szCs w:val="32"/>
          <w:lang w:val="zh-CN"/>
        </w:rPr>
        <w:t>主要变动原因是</w:t>
      </w:r>
      <w:r>
        <w:rPr>
          <w:rFonts w:hint="eastAsia" w:ascii="仿宋" w:hAnsi="仿宋" w:eastAsia="仿宋" w:cs="仿宋"/>
          <w:color w:val="000000"/>
          <w:sz w:val="32"/>
          <w:szCs w:val="32"/>
        </w:rPr>
        <w:t>正常的薪级工资的晋升，因为学生人数比2023年增加，所以学生营养餐、公用经费等比2023年增加。</w:t>
      </w:r>
    </w:p>
    <w:p w14:paraId="5E0585D9">
      <w:pPr>
        <w:spacing w:line="600" w:lineRule="exact"/>
        <w:ind w:firstLine="640"/>
        <w:rPr>
          <w:rFonts w:eastAsia="仿宋_GB2312" w:cs="仿宋_GB2312"/>
          <w:sz w:val="32"/>
          <w:szCs w:val="32"/>
        </w:rPr>
      </w:pPr>
      <w:r>
        <w:rPr>
          <w:rFonts w:hint="eastAsia" w:eastAsia="仿宋_GB2312" w:cs="仿宋_GB2312"/>
          <w:sz w:val="32"/>
          <w:szCs w:val="32"/>
        </w:rPr>
        <w:t>（图4：财政拨款收、支决算总计变动情况）（柱状图）</w:t>
      </w:r>
    </w:p>
    <w:p w14:paraId="03C20B61">
      <w:pPr>
        <w:pStyle w:val="3"/>
        <w:ind w:left="420" w:firstLine="640"/>
      </w:pPr>
      <w:r>
        <w:rPr>
          <w:rFonts w:eastAsia="仿宋_GB2312" w:cs="仿宋_GB2312"/>
          <w:sz w:val="32"/>
        </w:rPr>
        <w:drawing>
          <wp:inline distT="0" distB="0" distL="0" distR="0">
            <wp:extent cx="4418330" cy="2564130"/>
            <wp:effectExtent l="0" t="0" r="1270" b="7620"/>
            <wp:docPr id="204701898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FEDB39">
      <w:pPr>
        <w:spacing w:line="600" w:lineRule="exact"/>
        <w:ind w:firstLine="640" w:firstLineChars="200"/>
        <w:outlineLvl w:val="1"/>
        <w:rPr>
          <w:rStyle w:val="35"/>
          <w:rFonts w:ascii="Times New Roman" w:hAnsi="Times New Roman" w:eastAsia="黑体"/>
          <w:b w:val="0"/>
        </w:rPr>
      </w:pPr>
      <w:bookmarkStart w:id="54" w:name="_Toc208166862"/>
      <w:bookmarkStart w:id="55" w:name="_Toc208166654"/>
      <w:bookmarkStart w:id="56" w:name="_Toc15396607"/>
      <w:bookmarkStart w:id="57" w:name="_Toc208166984"/>
      <w:bookmarkStart w:id="58" w:name="_Toc15377209"/>
      <w:r>
        <w:rPr>
          <w:rFonts w:hint="eastAsia" w:eastAsia="黑体"/>
          <w:sz w:val="32"/>
          <w:szCs w:val="32"/>
        </w:rPr>
        <w:t>五、</w:t>
      </w:r>
      <w:r>
        <w:rPr>
          <w:rFonts w:hint="eastAsia" w:eastAsia="黑体"/>
          <w:b/>
          <w:sz w:val="32"/>
          <w:szCs w:val="32"/>
        </w:rPr>
        <w:t>一</w:t>
      </w:r>
      <w:r>
        <w:rPr>
          <w:rStyle w:val="35"/>
          <w:rFonts w:hint="eastAsia" w:ascii="Times New Roman" w:hAnsi="Times New Roman" w:eastAsia="黑体"/>
          <w:b w:val="0"/>
        </w:rPr>
        <w:t>般公共预算财政拨款支出决算情况说明</w:t>
      </w:r>
      <w:bookmarkEnd w:id="54"/>
      <w:bookmarkEnd w:id="55"/>
      <w:bookmarkEnd w:id="56"/>
      <w:bookmarkEnd w:id="57"/>
      <w:bookmarkEnd w:id="58"/>
    </w:p>
    <w:p w14:paraId="72E2EC6B">
      <w:pPr>
        <w:spacing w:line="600" w:lineRule="exact"/>
        <w:ind w:firstLine="643" w:firstLineChars="200"/>
        <w:outlineLvl w:val="2"/>
        <w:rPr>
          <w:rFonts w:eastAsia="楷体_GB2312" w:cs="楷体_GB2312"/>
          <w:b/>
          <w:sz w:val="32"/>
          <w:szCs w:val="32"/>
        </w:rPr>
      </w:pPr>
      <w:bookmarkStart w:id="59" w:name="_Toc15377210"/>
      <w:r>
        <w:rPr>
          <w:rFonts w:hint="eastAsia" w:eastAsia="楷体_GB2312" w:cs="楷体_GB2312"/>
          <w:b/>
          <w:sz w:val="32"/>
          <w:szCs w:val="32"/>
        </w:rPr>
        <w:t>（一）一般公共预算财政拨款支出决算总体情况</w:t>
      </w:r>
      <w:bookmarkEnd w:id="59"/>
    </w:p>
    <w:p w14:paraId="2C97109D">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2024年度一般公共预算财政拨款支出657.09万元，占本年支出合计的94.02%。与2023年度相比，一般公共预算财政拨款支出增加84.9万元，增长14.84%。</w:t>
      </w:r>
      <w:r>
        <w:rPr>
          <w:rFonts w:hint="eastAsia" w:eastAsia="仿宋_GB2312" w:cs="仿宋_GB2312"/>
          <w:sz w:val="32"/>
          <w:szCs w:val="32"/>
        </w:rPr>
        <w:t>主要变动原因是</w:t>
      </w:r>
      <w:r>
        <w:rPr>
          <w:rFonts w:hint="eastAsia" w:ascii="仿宋" w:hAnsi="仿宋" w:eastAsia="仿宋" w:cs="仿宋"/>
          <w:color w:val="000000"/>
          <w:sz w:val="32"/>
          <w:szCs w:val="32"/>
          <w:lang w:val="zh-CN"/>
        </w:rPr>
        <w:t>主要变动原因是</w:t>
      </w:r>
      <w:r>
        <w:rPr>
          <w:rFonts w:hint="eastAsia" w:ascii="仿宋" w:hAnsi="仿宋" w:eastAsia="仿宋" w:cs="仿宋"/>
          <w:color w:val="000000"/>
          <w:sz w:val="32"/>
          <w:szCs w:val="32"/>
        </w:rPr>
        <w:t>正常的薪级工资的晋升，因为学生人数比2023年增加，所以学生营养餐、公用经费等比2023年增加。</w:t>
      </w:r>
      <w:r>
        <w:rPr>
          <w:rFonts w:hint="eastAsia" w:eastAsia="仿宋_GB2312" w:cs="仿宋_GB2312"/>
          <w:sz w:val="32"/>
          <w:szCs w:val="32"/>
        </w:rPr>
        <w:t>（图5：一般公共预算财政拨款支出决算变动情况）（柱状图）</w:t>
      </w:r>
    </w:p>
    <w:p w14:paraId="34D448C6">
      <w:pPr>
        <w:pStyle w:val="2"/>
      </w:pPr>
    </w:p>
    <w:p w14:paraId="506FC5DD">
      <w:pPr>
        <w:pStyle w:val="3"/>
        <w:ind w:left="420" w:firstLine="640"/>
      </w:pPr>
      <w:r>
        <w:rPr>
          <w:rFonts w:eastAsia="仿宋_GB2312" w:cs="仿宋_GB2312"/>
          <w:sz w:val="32"/>
        </w:rPr>
        <w:drawing>
          <wp:inline distT="0" distB="0" distL="0" distR="0">
            <wp:extent cx="4418330" cy="2295525"/>
            <wp:effectExtent l="0" t="0" r="1270" b="9525"/>
            <wp:docPr id="164437213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AE5958">
      <w:pPr>
        <w:spacing w:line="600" w:lineRule="exact"/>
        <w:ind w:firstLine="643" w:firstLineChars="200"/>
        <w:outlineLvl w:val="2"/>
        <w:rPr>
          <w:rFonts w:eastAsia="楷体_GB2312" w:cs="楷体_GB2312"/>
          <w:b/>
          <w:sz w:val="32"/>
          <w:szCs w:val="32"/>
        </w:rPr>
      </w:pPr>
      <w:bookmarkStart w:id="60" w:name="_Toc15377211"/>
      <w:r>
        <w:rPr>
          <w:rFonts w:hint="eastAsia" w:eastAsia="楷体_GB2312" w:cs="楷体_GB2312"/>
          <w:b/>
          <w:sz w:val="32"/>
          <w:szCs w:val="32"/>
        </w:rPr>
        <w:t>（二）一般公共预算财政拨款支出决算结构情况</w:t>
      </w:r>
      <w:bookmarkEnd w:id="60"/>
    </w:p>
    <w:p w14:paraId="6377582A">
      <w:pPr>
        <w:spacing w:line="600" w:lineRule="exact"/>
        <w:ind w:firstLine="640"/>
        <w:rPr>
          <w:rFonts w:ascii="仿宋" w:hAnsi="仿宋" w:eastAsia="仿宋" w:cs="仿宋"/>
          <w:color w:val="000000" w:themeColor="text1"/>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657.09万元</w:t>
      </w:r>
      <w:r>
        <w:rPr>
          <w:rFonts w:hint="eastAsia" w:eastAsia="仿宋_GB2312" w:cs="仿宋_GB2312"/>
          <w:sz w:val="32"/>
          <w:szCs w:val="32"/>
        </w:rPr>
        <w:t>，</w:t>
      </w:r>
      <w:r>
        <w:rPr>
          <w:rFonts w:hint="eastAsia" w:ascii="仿宋" w:hAnsi="仿宋" w:eastAsia="仿宋" w:cs="仿宋"/>
          <w:color w:val="000000" w:themeColor="text1"/>
          <w:sz w:val="32"/>
          <w:szCs w:val="32"/>
        </w:rPr>
        <w:t>主要用于以下方面:教育支出506.7万元占</w:t>
      </w:r>
      <w:r>
        <w:rPr>
          <w:rFonts w:hint="eastAsia" w:ascii="仿宋_GB2312" w:hAnsi="仿宋_GB2312" w:eastAsia="仿宋_GB2312" w:cs="仿宋_GB2312"/>
          <w:sz w:val="32"/>
          <w:szCs w:val="32"/>
        </w:rPr>
        <w:t>77.11</w:t>
      </w:r>
      <w:r>
        <w:rPr>
          <w:rFonts w:hint="eastAsia" w:ascii="仿宋" w:hAnsi="仿宋" w:eastAsia="仿宋" w:cs="仿宋"/>
          <w:color w:val="000000" w:themeColor="text1"/>
          <w:sz w:val="32"/>
          <w:szCs w:val="32"/>
        </w:rPr>
        <w:t>%，社会保障和就业支出55.55万元占8.45%，住房公积金支出41.67万元占6.34%。</w:t>
      </w:r>
    </w:p>
    <w:p w14:paraId="28B6533A">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（注：仅罗列本部门涉及的全部功能分类科目，至类级）</w:t>
      </w:r>
    </w:p>
    <w:p w14:paraId="3C23B830">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247D3BAD">
      <w:pPr>
        <w:pStyle w:val="2"/>
      </w:pPr>
      <w:r>
        <w:rPr>
          <w:rFonts w:hint="eastAsia"/>
        </w:rPr>
        <w:drawing>
          <wp:inline distT="0" distB="0" distL="0" distR="0">
            <wp:extent cx="3727450" cy="2204085"/>
            <wp:effectExtent l="19050" t="0" r="24832" b="56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03855D">
      <w:pPr>
        <w:spacing w:line="600" w:lineRule="exact"/>
        <w:ind w:firstLine="643" w:firstLineChars="200"/>
        <w:outlineLvl w:val="2"/>
        <w:rPr>
          <w:rFonts w:eastAsia="楷体_GB2312" w:cs="楷体_GB2312"/>
          <w:b/>
          <w:sz w:val="32"/>
          <w:szCs w:val="32"/>
        </w:rPr>
      </w:pPr>
      <w:bookmarkStart w:id="61" w:name="_Toc15377212"/>
      <w:r>
        <w:rPr>
          <w:rFonts w:hint="eastAsia" w:eastAsia="楷体_GB2312" w:cs="楷体_GB2312"/>
          <w:b/>
          <w:sz w:val="32"/>
          <w:szCs w:val="32"/>
        </w:rPr>
        <w:t>（三）一般公共预算财政拨款支出决算具体情况</w:t>
      </w:r>
      <w:bookmarkEnd w:id="61"/>
    </w:p>
    <w:p w14:paraId="51424B8F">
      <w:pPr>
        <w:spacing w:line="600" w:lineRule="exact"/>
        <w:ind w:firstLine="640"/>
        <w:rPr>
          <w:rFonts w:ascii="仿宋" w:hAnsi="仿宋" w:eastAsia="仿宋" w:cs="仿宋"/>
          <w:color w:val="000000"/>
          <w:sz w:val="32"/>
          <w:szCs w:val="32"/>
        </w:rPr>
      </w:pPr>
      <w:bookmarkStart w:id="62" w:name="_Toc15377213"/>
      <w:bookmarkStart w:id="63" w:name="_Toc15378460"/>
      <w:bookmarkStart w:id="64" w:name="_Toc15377444"/>
      <w:r>
        <w:rPr>
          <w:rFonts w:hint="eastAsia" w:ascii="仿宋" w:hAnsi="仿宋" w:eastAsia="仿宋" w:cs="仿宋"/>
          <w:color w:val="000000"/>
          <w:sz w:val="32"/>
          <w:szCs w:val="32"/>
        </w:rPr>
        <w:t>2024年度一般公共预算财政拨款支出决算数为657.09，完成预算100%。其中：</w:t>
      </w:r>
      <w:bookmarkEnd w:id="62"/>
      <w:bookmarkEnd w:id="63"/>
      <w:bookmarkEnd w:id="64"/>
    </w:p>
    <w:p w14:paraId="0A6DE91C">
      <w:pPr>
        <w:spacing w:after="160"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 教育（205）支出决算数为586.68万元，完成预算１００%。其中：</w:t>
      </w:r>
    </w:p>
    <w:p w14:paraId="12836F3E">
      <w:pPr>
        <w:spacing w:after="160"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（1）小学教育（2050202）支出决算数为506.12万元，完成预算１００%。</w:t>
      </w:r>
    </w:p>
    <w:p w14:paraId="0EB33604">
      <w:pPr>
        <w:spacing w:after="16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（2）其他教育附加安排（2050999）支出决算为51.79万元，完成预算１００%。</w:t>
      </w:r>
    </w:p>
    <w:p w14:paraId="58DF7282">
      <w:pPr>
        <w:spacing w:after="16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（3）其他普通教育（2050299）支出决算为3.77万元，完成预算１００%。</w:t>
      </w:r>
    </w:p>
    <w:p w14:paraId="77163D05">
      <w:pPr>
        <w:spacing w:after="16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2.社会保障和就业（208）: 支出决算为71.64万元，完成预算100%。</w:t>
      </w:r>
    </w:p>
    <w:p w14:paraId="1CF1A852">
      <w:pPr>
        <w:spacing w:after="16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 住房保障支出（221）:支出35.94万元，完成预算100%。</w:t>
      </w:r>
    </w:p>
    <w:p w14:paraId="74DFA0DE">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（注：仅罗列本部门涉及的全部功能分类科目，至项级。上述“预算”口径为全年预算数。增减变动原因为决算数&lt;项级&gt;和全年预算数&lt;项级&gt;比较，与预算数持平可以不写原因）</w:t>
      </w:r>
    </w:p>
    <w:p w14:paraId="79C9B7B7">
      <w:pPr>
        <w:tabs>
          <w:tab w:val="right" w:pos="8306"/>
        </w:tabs>
        <w:spacing w:line="600" w:lineRule="exact"/>
        <w:ind w:firstLine="640"/>
        <w:outlineLvl w:val="1"/>
        <w:rPr>
          <w:rStyle w:val="35"/>
          <w:rFonts w:ascii="Times New Roman" w:hAnsi="Times New Roman"/>
        </w:rPr>
      </w:pPr>
      <w:bookmarkStart w:id="65" w:name="_Toc208166863"/>
      <w:bookmarkStart w:id="66" w:name="_Toc208166985"/>
      <w:bookmarkStart w:id="67" w:name="_Toc208166655"/>
      <w:bookmarkStart w:id="68" w:name="_Toc15377214"/>
      <w:bookmarkStart w:id="69" w:name="_Toc15396608"/>
      <w:r>
        <w:rPr>
          <w:rFonts w:hint="eastAsia" w:eastAsia="黑体"/>
          <w:sz w:val="32"/>
          <w:szCs w:val="32"/>
        </w:rPr>
        <w:t>六</w:t>
      </w:r>
      <w:r>
        <w:rPr>
          <w:rFonts w:hint="eastAsia" w:eastAsia="黑体"/>
          <w:b/>
          <w:sz w:val="32"/>
          <w:szCs w:val="32"/>
        </w:rPr>
        <w:t>、一</w:t>
      </w:r>
      <w:r>
        <w:rPr>
          <w:rStyle w:val="35"/>
          <w:rFonts w:hint="eastAsia" w:ascii="Times New Roman" w:hAnsi="Times New Roman" w:eastAsia="黑体"/>
          <w:b w:val="0"/>
        </w:rPr>
        <w:t>般公共预算财政拨款基本支出决算情况说明</w:t>
      </w:r>
      <w:bookmarkEnd w:id="65"/>
      <w:bookmarkEnd w:id="66"/>
      <w:bookmarkEnd w:id="67"/>
      <w:bookmarkEnd w:id="68"/>
      <w:bookmarkEnd w:id="69"/>
      <w:r>
        <w:rPr>
          <w:rStyle w:val="35"/>
          <w:rFonts w:ascii="Times New Roman" w:hAnsi="Times New Roman" w:eastAsia="黑体"/>
          <w:b w:val="0"/>
        </w:rPr>
        <w:tab/>
      </w:r>
    </w:p>
    <w:p w14:paraId="60D839FB">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2024年度一般公共预算财政拨款基本支出523.25万元，其中：</w:t>
      </w:r>
    </w:p>
    <w:p w14:paraId="641E1CAF">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人员经费510.44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公用经费12.81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67B1090">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（注：仅罗列本部门实际支出涉及的经济分类科目）</w:t>
      </w:r>
    </w:p>
    <w:p w14:paraId="242D6295">
      <w:pPr>
        <w:spacing w:line="600" w:lineRule="exact"/>
        <w:ind w:firstLine="640"/>
        <w:rPr>
          <w:rFonts w:eastAsia="仿宋_GB2312" w:cs="仿宋_GB2312"/>
          <w:sz w:val="32"/>
          <w:szCs w:val="32"/>
        </w:rPr>
      </w:pPr>
    </w:p>
    <w:p w14:paraId="796316CC">
      <w:pPr>
        <w:spacing w:line="600" w:lineRule="exact"/>
        <w:ind w:firstLine="640"/>
        <w:outlineLvl w:val="1"/>
        <w:rPr>
          <w:rStyle w:val="35"/>
          <w:rFonts w:ascii="Times New Roman" w:hAnsi="Times New Roman" w:eastAsia="黑体"/>
          <w:b w:val="0"/>
        </w:rPr>
      </w:pPr>
      <w:bookmarkStart w:id="70" w:name="_Toc15396609"/>
      <w:bookmarkStart w:id="71" w:name="_Toc15377215"/>
      <w:bookmarkStart w:id="72" w:name="_Toc208166656"/>
      <w:bookmarkStart w:id="73" w:name="_Toc208166864"/>
      <w:bookmarkStart w:id="74" w:name="_Toc208166986"/>
      <w:r>
        <w:rPr>
          <w:rFonts w:hint="eastAsia" w:eastAsia="黑体"/>
          <w:sz w:val="32"/>
          <w:szCs w:val="32"/>
        </w:rPr>
        <w:t>七、</w:t>
      </w:r>
      <w:r>
        <w:rPr>
          <w:rStyle w:val="35"/>
          <w:rFonts w:hint="eastAsia" w:ascii="Times New Roman" w:hAnsi="Times New Roman" w:eastAsia="黑体"/>
          <w:b w:val="0"/>
        </w:rPr>
        <w:t>财政拨款</w:t>
      </w:r>
      <w:r>
        <w:rPr>
          <w:rStyle w:val="35"/>
          <w:rFonts w:hint="eastAsia" w:ascii="Times New Roman" w:hAnsi="Times New Roman" w:eastAsia="黑体"/>
        </w:rPr>
        <w:t>“</w:t>
      </w:r>
      <w:r>
        <w:rPr>
          <w:rStyle w:val="35"/>
          <w:rFonts w:hint="eastAsia" w:ascii="Times New Roman" w:hAnsi="Times New Roman" w:eastAsia="黑体"/>
          <w:b w:val="0"/>
        </w:rPr>
        <w:t>三公”经费支出决算情况说明</w:t>
      </w:r>
      <w:bookmarkEnd w:id="70"/>
      <w:bookmarkEnd w:id="71"/>
      <w:bookmarkEnd w:id="72"/>
      <w:bookmarkEnd w:id="73"/>
      <w:bookmarkEnd w:id="74"/>
    </w:p>
    <w:p w14:paraId="04DAB55E">
      <w:pPr>
        <w:spacing w:line="600" w:lineRule="exact"/>
        <w:ind w:firstLine="640"/>
        <w:rPr>
          <w:rFonts w:ascii="仿宋" w:hAnsi="仿宋" w:eastAsia="仿宋" w:cs="仿宋"/>
          <w:b/>
          <w:bCs/>
          <w:color w:val="000000"/>
          <w:sz w:val="32"/>
          <w:szCs w:val="32"/>
        </w:rPr>
      </w:pPr>
      <w:bookmarkStart w:id="75" w:name="_Toc15377216"/>
      <w:r>
        <w:rPr>
          <w:rFonts w:hint="eastAsia" w:ascii="仿宋" w:hAnsi="仿宋" w:eastAsia="仿宋" w:cs="仿宋"/>
          <w:b/>
          <w:bCs/>
          <w:color w:val="000000"/>
          <w:sz w:val="32"/>
          <w:szCs w:val="32"/>
        </w:rPr>
        <w:t>（一）“三公”经费财政拨款支出决算总体情况说明</w:t>
      </w:r>
      <w:bookmarkEnd w:id="75"/>
    </w:p>
    <w:p w14:paraId="1965A5BD">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2024年度“三公”经费财政拨款支出决算为0万元，完成预算0%，决算数与预算数持平的主要原因是：江林小学无三公经费。</w:t>
      </w:r>
    </w:p>
    <w:p w14:paraId="76CDB07B">
      <w:pPr>
        <w:spacing w:line="600" w:lineRule="exact"/>
        <w:ind w:firstLine="640"/>
        <w:rPr>
          <w:rFonts w:eastAsia="仿宋_GB2312" w:cs="仿宋_GB2312"/>
          <w:b/>
          <w:bCs/>
          <w:sz w:val="32"/>
          <w:szCs w:val="32"/>
        </w:rPr>
      </w:pPr>
      <w:r>
        <w:rPr>
          <w:rFonts w:hint="eastAsia" w:eastAsia="仿宋_GB2312" w:cs="仿宋_GB2312"/>
          <w:b/>
          <w:bCs/>
          <w:sz w:val="32"/>
          <w:szCs w:val="32"/>
        </w:rPr>
        <w:t>（注：上述“预算”口径为全年预算数，包括一般公共预算和政府性基金预算财政拨款支出决算情况）</w:t>
      </w:r>
    </w:p>
    <w:p w14:paraId="14AE25B1">
      <w:pPr>
        <w:spacing w:line="600" w:lineRule="exact"/>
        <w:ind w:firstLine="640"/>
        <w:rPr>
          <w:rFonts w:ascii="仿宋" w:hAnsi="仿宋" w:eastAsia="仿宋" w:cs="仿宋"/>
          <w:b/>
          <w:bCs/>
          <w:color w:val="000000"/>
          <w:sz w:val="32"/>
          <w:szCs w:val="32"/>
        </w:rPr>
      </w:pPr>
      <w:bookmarkStart w:id="76" w:name="_Toc15377217"/>
      <w:r>
        <w:rPr>
          <w:rFonts w:hint="eastAsia" w:ascii="仿宋" w:hAnsi="仿宋" w:eastAsia="仿宋" w:cs="仿宋"/>
          <w:b/>
          <w:bCs/>
          <w:color w:val="000000"/>
          <w:sz w:val="32"/>
          <w:szCs w:val="32"/>
        </w:rPr>
        <w:t>（二）“三公”经费财政拨款支出决算具体情况说明</w:t>
      </w:r>
      <w:bookmarkEnd w:id="76"/>
    </w:p>
    <w:p w14:paraId="01ECE29C">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2024年度“三公”经费财政拨款支出决算中，因公出国（境）费支出决算0万元，占0%；公务用车购置及运行维护费支出决算0万元，占0%；公务接待费支出决算0万元，占0%。具体情况如下：</w:t>
      </w:r>
    </w:p>
    <w:p w14:paraId="327791F6">
      <w:pPr>
        <w:spacing w:line="600" w:lineRule="exact"/>
        <w:ind w:firstLine="640"/>
        <w:rPr>
          <w:rFonts w:ascii="仿宋" w:hAnsi="仿宋" w:eastAsia="仿宋" w:cs="仿宋"/>
          <w:b/>
          <w:sz w:val="32"/>
          <w:szCs w:val="32"/>
        </w:rPr>
      </w:pPr>
      <w:r>
        <w:rPr>
          <w:rFonts w:hint="eastAsia" w:ascii="仿宋" w:hAnsi="仿宋" w:eastAsia="仿宋" w:cs="仿宋"/>
          <w:color w:val="000000"/>
          <w:sz w:val="32"/>
          <w:szCs w:val="32"/>
        </w:rPr>
        <w:t>1.因公出国（境）经费支出0万元，完成预算0%。全</w:t>
      </w:r>
      <w:r>
        <w:rPr>
          <w:rFonts w:hint="eastAsia" w:eastAsia="仿宋_GB2312" w:cs="仿宋_GB2312"/>
          <w:sz w:val="32"/>
          <w:szCs w:val="32"/>
        </w:rPr>
        <w:t>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r>
        <w:rPr>
          <w:rFonts w:hint="eastAsia" w:ascii="仿宋" w:hAnsi="仿宋" w:eastAsia="仿宋" w:cs="仿宋"/>
          <w:sz w:val="32"/>
          <w:szCs w:val="32"/>
        </w:rPr>
        <w:t>因公出国（境）支出决算与2023年持平，主要原因是：江林小学无三公经费。</w:t>
      </w:r>
    </w:p>
    <w:p w14:paraId="7623C0DA">
      <w:pPr>
        <w:spacing w:line="600" w:lineRule="exact"/>
        <w:ind w:firstLine="640"/>
        <w:rPr>
          <w:rFonts w:ascii="仿宋" w:hAnsi="仿宋" w:eastAsia="仿宋" w:cs="仿宋"/>
          <w:sz w:val="32"/>
          <w:szCs w:val="32"/>
        </w:rPr>
      </w:pPr>
      <w:r>
        <w:rPr>
          <w:rFonts w:hint="eastAsia" w:ascii="仿宋" w:hAnsi="仿宋" w:eastAsia="仿宋" w:cs="仿宋"/>
          <w:sz w:val="32"/>
          <w:szCs w:val="32"/>
        </w:rPr>
        <w:t>2.公务用车购置及运行维护费支出0万元，完成预算0%。公务用车购置及运行维护费支出决算与2023年持平，主要原因是：江林小学无三公经费。</w:t>
      </w:r>
    </w:p>
    <w:p w14:paraId="4FE55DCF">
      <w:pPr>
        <w:spacing w:line="600" w:lineRule="exact"/>
        <w:ind w:firstLine="640"/>
        <w:rPr>
          <w:rFonts w:ascii="仿宋" w:hAnsi="仿宋" w:eastAsia="仿宋" w:cs="仿宋"/>
          <w:sz w:val="32"/>
          <w:szCs w:val="32"/>
        </w:rPr>
      </w:pPr>
      <w:r>
        <w:rPr>
          <w:rFonts w:hint="eastAsia" w:ascii="仿宋" w:hAnsi="仿宋" w:eastAsia="仿宋" w:cs="仿宋"/>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5B0C7518">
      <w:pPr>
        <w:spacing w:line="600" w:lineRule="exact"/>
        <w:ind w:firstLine="640"/>
        <w:rPr>
          <w:rFonts w:ascii="仿宋" w:hAnsi="仿宋" w:eastAsia="仿宋" w:cs="仿宋"/>
          <w:sz w:val="32"/>
          <w:szCs w:val="32"/>
        </w:rPr>
      </w:pPr>
      <w:r>
        <w:rPr>
          <w:rFonts w:hint="eastAsia" w:ascii="仿宋" w:hAnsi="仿宋" w:eastAsia="仿宋" w:cs="仿宋"/>
          <w:sz w:val="32"/>
          <w:szCs w:val="32"/>
        </w:rPr>
        <w:t>公务用车运行维护费支出0万元。</w:t>
      </w:r>
    </w:p>
    <w:p w14:paraId="6D2AB2D5">
      <w:pPr>
        <w:tabs>
          <w:tab w:val="left" w:pos="312"/>
        </w:tabs>
        <w:spacing w:after="160" w:line="600" w:lineRule="exact"/>
        <w:ind w:left="640"/>
        <w:rPr>
          <w:rFonts w:ascii="仿宋" w:hAnsi="仿宋" w:eastAsia="仿宋" w:cs="仿宋"/>
          <w:sz w:val="32"/>
          <w:szCs w:val="32"/>
        </w:rPr>
      </w:pPr>
      <w:r>
        <w:rPr>
          <w:rFonts w:hint="eastAsia" w:ascii="仿宋" w:hAnsi="仿宋" w:eastAsia="仿宋" w:cs="仿宋"/>
          <w:sz w:val="32"/>
          <w:szCs w:val="32"/>
        </w:rPr>
        <w:t>1. 公务接待费支出0万元，完成预算0%。公务接待费支出决算0，与2023年持平，主要原因是：江林小学无公务接待费支出。</w:t>
      </w:r>
    </w:p>
    <w:p w14:paraId="317B1FB2">
      <w:pPr>
        <w:spacing w:line="600" w:lineRule="exact"/>
        <w:ind w:firstLine="640"/>
        <w:rPr>
          <w:rFonts w:ascii="仿宋" w:hAnsi="仿宋" w:eastAsia="仿宋" w:cs="仿宋"/>
          <w:sz w:val="32"/>
          <w:szCs w:val="32"/>
        </w:rPr>
      </w:pPr>
      <w:r>
        <w:rPr>
          <w:rFonts w:hint="eastAsia" w:ascii="仿宋" w:hAnsi="仿宋" w:eastAsia="仿宋" w:cs="仿宋"/>
          <w:sz w:val="32"/>
          <w:szCs w:val="32"/>
        </w:rPr>
        <w:t>2. 国内公务接待支出0万元，国内公务接待0批次，0人次（不包括陪同人员），共计支出0万元。</w:t>
      </w:r>
    </w:p>
    <w:p w14:paraId="1F40E435">
      <w:pPr>
        <w:spacing w:line="600" w:lineRule="exact"/>
        <w:ind w:firstLine="640"/>
        <w:rPr>
          <w:rFonts w:ascii="仿宋" w:hAnsi="仿宋" w:eastAsia="仿宋" w:cs="仿宋"/>
          <w:sz w:val="32"/>
          <w:szCs w:val="32"/>
        </w:rPr>
      </w:pPr>
      <w:r>
        <w:rPr>
          <w:rFonts w:hint="eastAsia" w:ascii="仿宋" w:hAnsi="仿宋" w:eastAsia="仿宋" w:cs="仿宋"/>
          <w:sz w:val="32"/>
          <w:szCs w:val="32"/>
        </w:rPr>
        <w:t>外事接待支出0万元。外事接待0批次，0人次（不包括陪同人员），共计支出0万元。</w:t>
      </w:r>
      <w:bookmarkStart w:id="77" w:name="_Toc15377218"/>
      <w:bookmarkStart w:id="78" w:name="_Toc15396610"/>
    </w:p>
    <w:p w14:paraId="4761E240">
      <w:pPr>
        <w:spacing w:line="600" w:lineRule="exact"/>
        <w:ind w:firstLine="640"/>
        <w:outlineLvl w:val="1"/>
        <w:rPr>
          <w:rStyle w:val="35"/>
          <w:rFonts w:ascii="Times New Roman" w:hAnsi="Times New Roman" w:eastAsia="黑体"/>
        </w:rPr>
      </w:pPr>
      <w:bookmarkStart w:id="79" w:name="_Toc208166657"/>
      <w:bookmarkStart w:id="80" w:name="_Toc208166865"/>
      <w:bookmarkStart w:id="81" w:name="_Toc208166987"/>
      <w:r>
        <w:rPr>
          <w:rFonts w:hint="eastAsia" w:eastAsia="黑体"/>
          <w:sz w:val="32"/>
          <w:szCs w:val="32"/>
        </w:rPr>
        <w:t>八、</w:t>
      </w:r>
      <w:r>
        <w:rPr>
          <w:rStyle w:val="35"/>
          <w:rFonts w:hint="eastAsia" w:ascii="Times New Roman" w:hAnsi="Times New Roman" w:eastAsia="黑体"/>
          <w:b w:val="0"/>
        </w:rPr>
        <w:t>政府性基金预算支出决算情况说明</w:t>
      </w:r>
      <w:bookmarkEnd w:id="77"/>
      <w:bookmarkEnd w:id="78"/>
      <w:bookmarkEnd w:id="79"/>
      <w:bookmarkEnd w:id="80"/>
      <w:bookmarkEnd w:id="81"/>
    </w:p>
    <w:p w14:paraId="6A634AB0">
      <w:pPr>
        <w:spacing w:line="600" w:lineRule="exact"/>
        <w:ind w:firstLine="640"/>
        <w:rPr>
          <w:rFonts w:ascii="仿宋" w:hAnsi="仿宋" w:eastAsia="仿宋" w:cs="仿宋"/>
          <w:sz w:val="32"/>
          <w:szCs w:val="32"/>
        </w:rPr>
      </w:pPr>
      <w:r>
        <w:rPr>
          <w:rFonts w:hint="eastAsia" w:ascii="仿宋" w:hAnsi="仿宋" w:eastAsia="仿宋" w:cs="仿宋"/>
          <w:sz w:val="32"/>
          <w:szCs w:val="32"/>
        </w:rPr>
        <w:t>2024年度政府性基金预算财政拨款支出0万元。</w:t>
      </w:r>
    </w:p>
    <w:p w14:paraId="1E7F8E6D">
      <w:pPr>
        <w:spacing w:line="600" w:lineRule="exact"/>
        <w:ind w:left="630"/>
        <w:outlineLvl w:val="1"/>
        <w:rPr>
          <w:rStyle w:val="35"/>
          <w:rFonts w:ascii="Times New Roman" w:hAnsi="Times New Roman" w:eastAsia="黑体"/>
          <w:b w:val="0"/>
        </w:rPr>
      </w:pPr>
      <w:bookmarkStart w:id="82" w:name="_Toc15396611"/>
      <w:bookmarkStart w:id="83" w:name="_Toc15377219"/>
      <w:bookmarkStart w:id="84" w:name="_Toc208166658"/>
      <w:bookmarkStart w:id="85" w:name="_Toc208166866"/>
      <w:bookmarkStart w:id="86" w:name="_Toc208166988"/>
      <w:r>
        <w:rPr>
          <w:rStyle w:val="35"/>
          <w:rFonts w:hint="eastAsia" w:ascii="Times New Roman" w:hAnsi="Times New Roman" w:eastAsia="黑体"/>
          <w:b w:val="0"/>
        </w:rPr>
        <w:t>九、国有资本经营预算支出决算情况说明</w:t>
      </w:r>
      <w:bookmarkEnd w:id="82"/>
      <w:bookmarkEnd w:id="83"/>
      <w:bookmarkEnd w:id="84"/>
      <w:bookmarkEnd w:id="85"/>
      <w:bookmarkEnd w:id="86"/>
    </w:p>
    <w:p w14:paraId="224803DE">
      <w:pPr>
        <w:spacing w:line="600" w:lineRule="exact"/>
        <w:ind w:firstLine="640"/>
        <w:rPr>
          <w:rFonts w:ascii="仿宋" w:hAnsi="仿宋" w:eastAsia="仿宋" w:cs="仿宋"/>
          <w:sz w:val="32"/>
          <w:szCs w:val="32"/>
        </w:rPr>
      </w:pPr>
      <w:r>
        <w:rPr>
          <w:rFonts w:hint="eastAsia" w:ascii="仿宋" w:hAnsi="仿宋" w:eastAsia="仿宋" w:cs="仿宋"/>
          <w:sz w:val="32"/>
          <w:szCs w:val="32"/>
        </w:rPr>
        <w:t>2024年度国有资本经营预算财政拨款支出0万元。</w:t>
      </w:r>
    </w:p>
    <w:p w14:paraId="2E682CBB">
      <w:pPr>
        <w:spacing w:line="600" w:lineRule="exact"/>
        <w:ind w:left="630"/>
        <w:outlineLvl w:val="1"/>
        <w:rPr>
          <w:rStyle w:val="35"/>
          <w:rFonts w:ascii="Times New Roman" w:hAnsi="Times New Roman" w:eastAsia="黑体"/>
          <w:b w:val="0"/>
        </w:rPr>
      </w:pPr>
      <w:bookmarkStart w:id="87" w:name="_Toc15396612"/>
      <w:bookmarkStart w:id="88" w:name="_Toc15377221"/>
      <w:bookmarkStart w:id="89" w:name="_Toc208166659"/>
      <w:bookmarkStart w:id="90" w:name="_Toc208166867"/>
      <w:bookmarkStart w:id="91" w:name="_Toc208166989"/>
      <w:r>
        <w:rPr>
          <w:rStyle w:val="35"/>
          <w:rFonts w:hint="eastAsia" w:ascii="Times New Roman" w:hAnsi="Times New Roman" w:eastAsia="黑体"/>
          <w:b w:val="0"/>
        </w:rPr>
        <w:t>十、其他重要事项的情况说明</w:t>
      </w:r>
      <w:bookmarkEnd w:id="87"/>
      <w:bookmarkEnd w:id="88"/>
      <w:bookmarkEnd w:id="89"/>
      <w:bookmarkEnd w:id="90"/>
      <w:bookmarkEnd w:id="91"/>
    </w:p>
    <w:p w14:paraId="40AA45C5">
      <w:pPr>
        <w:spacing w:line="600" w:lineRule="exact"/>
        <w:ind w:firstLine="643" w:firstLineChars="200"/>
        <w:outlineLvl w:val="2"/>
        <w:rPr>
          <w:rFonts w:ascii="仿宋" w:hAnsi="仿宋" w:eastAsia="仿宋" w:cs="仿宋"/>
          <w:b/>
          <w:bCs/>
          <w:sz w:val="32"/>
          <w:szCs w:val="32"/>
        </w:rPr>
      </w:pPr>
      <w:bookmarkStart w:id="92" w:name="_Toc15377222"/>
      <w:r>
        <w:rPr>
          <w:rFonts w:hint="eastAsia" w:ascii="仿宋" w:hAnsi="仿宋" w:eastAsia="仿宋" w:cs="仿宋"/>
          <w:b/>
          <w:bCs/>
          <w:sz w:val="32"/>
          <w:szCs w:val="32"/>
        </w:rPr>
        <w:t>（一）机关运行经费支出情况</w:t>
      </w:r>
      <w:bookmarkEnd w:id="92"/>
    </w:p>
    <w:p w14:paraId="6F5C9A5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2024年度，四川省攀枝花市仁和区江林小学机关运行经费支出0万元，与2023年决算数持平。主要原因是江林小学没有机关运行经费。</w:t>
      </w:r>
    </w:p>
    <w:p w14:paraId="570A18A8">
      <w:pPr>
        <w:spacing w:line="600" w:lineRule="exact"/>
        <w:ind w:firstLine="643" w:firstLineChars="200"/>
        <w:outlineLvl w:val="2"/>
        <w:rPr>
          <w:rFonts w:ascii="仿宋" w:hAnsi="仿宋" w:eastAsia="仿宋" w:cs="仿宋"/>
          <w:b/>
          <w:bCs/>
          <w:sz w:val="32"/>
          <w:szCs w:val="32"/>
        </w:rPr>
      </w:pPr>
      <w:bookmarkStart w:id="93" w:name="_Toc15377223"/>
      <w:r>
        <w:rPr>
          <w:rFonts w:hint="eastAsia" w:ascii="仿宋" w:hAnsi="仿宋" w:eastAsia="仿宋" w:cs="仿宋"/>
          <w:b/>
          <w:bCs/>
          <w:sz w:val="32"/>
          <w:szCs w:val="32"/>
        </w:rPr>
        <w:t>（二）政府采购支出情况</w:t>
      </w:r>
      <w:bookmarkEnd w:id="93"/>
    </w:p>
    <w:p w14:paraId="6F71A4B1">
      <w:pPr>
        <w:spacing w:line="600" w:lineRule="exact"/>
        <w:ind w:firstLine="640"/>
        <w:rPr>
          <w:rFonts w:ascii="仿宋" w:hAnsi="仿宋" w:eastAsia="仿宋" w:cs="仿宋"/>
          <w:sz w:val="32"/>
          <w:szCs w:val="32"/>
        </w:rPr>
      </w:pPr>
      <w:r>
        <w:rPr>
          <w:rFonts w:hint="eastAsia" w:ascii="仿宋" w:hAnsi="仿宋" w:eastAsia="仿宋" w:cs="仿宋"/>
          <w:sz w:val="32"/>
          <w:szCs w:val="32"/>
        </w:rPr>
        <w:t>2024年度，四川省攀枝花市仁和区江林小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4680331">
      <w:pPr>
        <w:spacing w:line="600" w:lineRule="exact"/>
        <w:ind w:firstLine="643" w:firstLineChars="200"/>
        <w:outlineLvl w:val="2"/>
        <w:rPr>
          <w:rFonts w:ascii="仿宋" w:hAnsi="仿宋" w:eastAsia="仿宋" w:cs="仿宋"/>
          <w:b/>
          <w:bCs/>
          <w:sz w:val="32"/>
          <w:szCs w:val="32"/>
        </w:rPr>
      </w:pPr>
      <w:bookmarkStart w:id="94" w:name="_Toc15377224"/>
      <w:r>
        <w:rPr>
          <w:rFonts w:hint="eastAsia" w:ascii="仿宋" w:hAnsi="仿宋" w:eastAsia="仿宋" w:cs="仿宋"/>
          <w:b/>
          <w:bCs/>
          <w:sz w:val="32"/>
          <w:szCs w:val="32"/>
        </w:rPr>
        <w:t>（三）国有资产占有使用情况</w:t>
      </w:r>
      <w:bookmarkEnd w:id="94"/>
    </w:p>
    <w:p w14:paraId="59284212">
      <w:pPr>
        <w:spacing w:line="600" w:lineRule="exact"/>
        <w:ind w:firstLine="640"/>
        <w:rPr>
          <w:rFonts w:ascii="仿宋" w:hAnsi="仿宋" w:eastAsia="仿宋" w:cs="仿宋"/>
          <w:sz w:val="32"/>
          <w:szCs w:val="32"/>
        </w:rPr>
      </w:pPr>
      <w:r>
        <w:rPr>
          <w:rFonts w:hint="eastAsia" w:ascii="仿宋" w:hAnsi="仿宋" w:eastAsia="仿宋" w:cs="仿宋"/>
          <w:sz w:val="32"/>
          <w:szCs w:val="32"/>
        </w:rPr>
        <w:t>截至2024年12月31日，四川省</w:t>
      </w:r>
      <w:bookmarkStart w:id="95" w:name="OLE_LINK1"/>
      <w:r>
        <w:rPr>
          <w:rFonts w:hint="eastAsia" w:ascii="仿宋" w:hAnsi="仿宋" w:eastAsia="仿宋" w:cs="仿宋"/>
          <w:sz w:val="32"/>
          <w:szCs w:val="32"/>
        </w:rPr>
        <w:t>攀枝花市仁和区江林小学</w:t>
      </w:r>
      <w:bookmarkEnd w:id="95"/>
      <w:r>
        <w:rPr>
          <w:rFonts w:hint="eastAsia" w:ascii="仿宋" w:hAnsi="仿宋" w:eastAsia="仿宋" w:cs="仿宋"/>
          <w:sz w:val="32"/>
          <w:szCs w:val="32"/>
        </w:rPr>
        <w:t>共有车辆0辆，其中：主要负责人用车0辆、机要通信用车0辆、应急保障用车0辆、其他用车0辆。单价100万元（含）以上设备（不含车辆）0台（套）。</w:t>
      </w:r>
    </w:p>
    <w:p w14:paraId="39CC8000">
      <w:pPr>
        <w:spacing w:line="600" w:lineRule="exact"/>
        <w:ind w:firstLine="643" w:firstLineChars="200"/>
        <w:outlineLvl w:val="2"/>
        <w:rPr>
          <w:rFonts w:ascii="仿宋" w:hAnsi="仿宋" w:eastAsia="仿宋" w:cs="仿宋"/>
          <w:b/>
          <w:bCs/>
          <w:sz w:val="32"/>
          <w:szCs w:val="32"/>
        </w:rPr>
      </w:pPr>
      <w:r>
        <w:rPr>
          <w:rFonts w:hint="eastAsia" w:ascii="仿宋" w:hAnsi="仿宋" w:eastAsia="仿宋" w:cs="仿宋"/>
          <w:b/>
          <w:bCs/>
          <w:sz w:val="32"/>
          <w:szCs w:val="32"/>
        </w:rPr>
        <w:t>（四）预算绩效管理情况</w:t>
      </w:r>
    </w:p>
    <w:p w14:paraId="7D76DB47">
      <w:pPr>
        <w:spacing w:line="600" w:lineRule="exact"/>
        <w:ind w:firstLine="640"/>
        <w:rPr>
          <w:rFonts w:ascii="仿宋" w:hAnsi="仿宋" w:eastAsia="仿宋" w:cs="仿宋"/>
          <w:sz w:val="32"/>
          <w:szCs w:val="32"/>
        </w:rPr>
      </w:pPr>
      <w:r>
        <w:rPr>
          <w:rFonts w:hint="eastAsia" w:ascii="仿宋" w:hAnsi="仿宋" w:eastAsia="仿宋" w:cs="仿宋"/>
          <w:sz w:val="32"/>
          <w:szCs w:val="32"/>
        </w:rPr>
        <w:t>根据预算绩效管理要求，本单位在2024年度预算编制阶段，组织对学生营养餐、作业本费、劳务费、购电子白板心理健康教育、地震预警平台费用等21个项目开展了预算事前绩效评估，对1个项目编制了绩效目标，预算执行过程中，选取1个项目开展绩效监控，年终执行完毕后，对1个项目开展了绩效自评，2024年特定目标类部门预算项目。绩效目标自评表见附件。（注：如不涉及，可根据实际修改表述。）</w:t>
      </w:r>
    </w:p>
    <w:p w14:paraId="7136D38A">
      <w:pPr>
        <w:spacing w:line="600" w:lineRule="exact"/>
        <w:ind w:firstLine="640"/>
        <w:rPr>
          <w:rFonts w:eastAsia="仿宋_GB2312" w:cs="仿宋_GB2312"/>
          <w:sz w:val="32"/>
          <w:szCs w:val="32"/>
        </w:rPr>
      </w:pPr>
    </w:p>
    <w:p w14:paraId="5C4E1311">
      <w:pPr>
        <w:spacing w:line="600" w:lineRule="exact"/>
        <w:ind w:firstLine="640"/>
        <w:rPr>
          <w:rFonts w:eastAsia="仿宋_GB2312" w:cs="仿宋_GB2312"/>
          <w:sz w:val="32"/>
          <w:szCs w:val="32"/>
        </w:rPr>
      </w:pPr>
    </w:p>
    <w:p w14:paraId="60AD531D">
      <w:pPr>
        <w:spacing w:line="600" w:lineRule="exact"/>
        <w:jc w:val="center"/>
        <w:outlineLvl w:val="0"/>
        <w:rPr>
          <w:rFonts w:eastAsia="黑体"/>
          <w:sz w:val="44"/>
          <w:szCs w:val="44"/>
        </w:rPr>
      </w:pPr>
      <w:bookmarkStart w:id="96" w:name="_Toc15377225"/>
      <w:bookmarkStart w:id="97" w:name="_Toc15396613"/>
      <w:bookmarkStart w:id="98" w:name="_Toc208166660"/>
      <w:bookmarkStart w:id="99" w:name="_Toc208166868"/>
      <w:bookmarkStart w:id="100" w:name="_Toc208166990"/>
      <w:r>
        <w:rPr>
          <w:rFonts w:hint="eastAsia" w:eastAsia="黑体"/>
          <w:sz w:val="44"/>
          <w:szCs w:val="44"/>
        </w:rPr>
        <w:t>第三部分名词解释</w:t>
      </w:r>
      <w:bookmarkEnd w:id="96"/>
      <w:bookmarkEnd w:id="97"/>
      <w:bookmarkEnd w:id="98"/>
      <w:bookmarkEnd w:id="99"/>
      <w:bookmarkEnd w:id="100"/>
    </w:p>
    <w:p w14:paraId="575BA0DE">
      <w:pPr>
        <w:spacing w:line="600" w:lineRule="exact"/>
        <w:jc w:val="left"/>
        <w:rPr>
          <w:b/>
          <w:sz w:val="44"/>
          <w:szCs w:val="44"/>
        </w:rPr>
      </w:pPr>
    </w:p>
    <w:p w14:paraId="69E7D51F">
      <w:pPr>
        <w:pStyle w:val="32"/>
        <w:spacing w:line="560" w:lineRule="exact"/>
        <w:ind w:firstLine="640" w:firstLineChars="200"/>
        <w:rPr>
          <w:rFonts w:hAnsi="仿宋"/>
          <w:color w:val="auto"/>
          <w:sz w:val="32"/>
          <w:szCs w:val="32"/>
        </w:rPr>
      </w:pPr>
      <w:r>
        <w:rPr>
          <w:rFonts w:hint="eastAsia" w:hAnsi="仿宋"/>
          <w:color w:val="auto"/>
          <w:sz w:val="32"/>
          <w:szCs w:val="32"/>
        </w:rPr>
        <w:t>1.财政拨款收入：指单位从同级财政部门取得的财政预算资金。</w:t>
      </w:r>
    </w:p>
    <w:p w14:paraId="7C00BB3E">
      <w:pPr>
        <w:pStyle w:val="32"/>
        <w:spacing w:line="560" w:lineRule="exact"/>
        <w:ind w:firstLine="640" w:firstLineChars="200"/>
        <w:rPr>
          <w:rFonts w:hAnsi="仿宋"/>
          <w:color w:val="auto"/>
          <w:sz w:val="32"/>
          <w:szCs w:val="32"/>
        </w:rPr>
      </w:pPr>
      <w:r>
        <w:rPr>
          <w:rFonts w:hint="eastAsia" w:hAnsi="仿宋"/>
          <w:color w:val="auto"/>
          <w:sz w:val="32"/>
          <w:szCs w:val="32"/>
        </w:rPr>
        <w:t>2.事业收入：指事业单位开展专业业务活动及辅助活动取得的收入。</w:t>
      </w:r>
    </w:p>
    <w:p w14:paraId="0AD71D87">
      <w:pPr>
        <w:pStyle w:val="32"/>
        <w:spacing w:line="560" w:lineRule="exact"/>
        <w:ind w:firstLine="640" w:firstLineChars="200"/>
        <w:rPr>
          <w:rFonts w:hAnsi="仿宋"/>
          <w:color w:val="auto"/>
          <w:sz w:val="32"/>
          <w:szCs w:val="32"/>
        </w:rPr>
      </w:pPr>
      <w:r>
        <w:rPr>
          <w:rFonts w:hint="eastAsia" w:hAnsi="仿宋"/>
          <w:color w:val="auto"/>
          <w:sz w:val="32"/>
          <w:szCs w:val="32"/>
        </w:rPr>
        <w:t>3.经营收入：指事业单位在专业业务活动及其辅助活动之外开展非独立核算经营活动取得的收入。</w:t>
      </w:r>
    </w:p>
    <w:p w14:paraId="032B39AC">
      <w:pPr>
        <w:pStyle w:val="32"/>
        <w:spacing w:line="560" w:lineRule="exact"/>
        <w:ind w:firstLine="640" w:firstLineChars="200"/>
        <w:rPr>
          <w:rFonts w:hAnsi="仿宋"/>
          <w:color w:val="auto"/>
          <w:sz w:val="32"/>
          <w:szCs w:val="32"/>
        </w:rPr>
      </w:pPr>
      <w:r>
        <w:rPr>
          <w:rFonts w:hint="eastAsia" w:hAnsi="仿宋"/>
          <w:color w:val="auto"/>
          <w:sz w:val="32"/>
          <w:szCs w:val="32"/>
        </w:rPr>
        <w:t xml:space="preserve">4.其他收入：指单位取得的除上述收入以外的各项收入。 </w:t>
      </w:r>
    </w:p>
    <w:p w14:paraId="597D25D7">
      <w:pPr>
        <w:pStyle w:val="32"/>
        <w:spacing w:line="560" w:lineRule="exact"/>
        <w:ind w:firstLine="640" w:firstLineChars="200"/>
        <w:rPr>
          <w:rFonts w:hAnsi="仿宋"/>
          <w:color w:val="auto"/>
          <w:sz w:val="32"/>
          <w:szCs w:val="32"/>
        </w:rPr>
      </w:pPr>
      <w:r>
        <w:rPr>
          <w:rFonts w:hint="eastAsia" w:hAnsi="仿宋"/>
          <w:color w:val="auto"/>
          <w:sz w:val="32"/>
          <w:szCs w:val="32"/>
        </w:rPr>
        <w:t xml:space="preserve">5.使用非财政拨款结余：指事业单位使用以前年度积累的非财政拨款结余弥补当年收支差额的金额。 </w:t>
      </w:r>
    </w:p>
    <w:p w14:paraId="6495D7AC">
      <w:pPr>
        <w:pStyle w:val="32"/>
        <w:spacing w:line="560" w:lineRule="exact"/>
        <w:ind w:firstLine="640" w:firstLineChars="200"/>
        <w:rPr>
          <w:rFonts w:hAnsi="仿宋"/>
          <w:color w:val="auto"/>
          <w:sz w:val="32"/>
          <w:szCs w:val="32"/>
        </w:rPr>
      </w:pPr>
      <w:r>
        <w:rPr>
          <w:rFonts w:hint="eastAsia" w:hAnsi="仿宋"/>
          <w:color w:val="auto"/>
          <w:sz w:val="32"/>
          <w:szCs w:val="32"/>
        </w:rPr>
        <w:t xml:space="preserve">6.年初结转和结余：指以前年度尚未完成、结转到本年按有关规定继续使用的资金。 </w:t>
      </w:r>
    </w:p>
    <w:p w14:paraId="571695B7">
      <w:pPr>
        <w:pStyle w:val="32"/>
        <w:spacing w:line="560" w:lineRule="exact"/>
        <w:ind w:firstLine="640" w:firstLineChars="200"/>
        <w:rPr>
          <w:rFonts w:hAnsi="仿宋"/>
          <w:color w:val="auto"/>
          <w:sz w:val="32"/>
          <w:szCs w:val="32"/>
        </w:rPr>
      </w:pPr>
      <w:r>
        <w:rPr>
          <w:rFonts w:hint="eastAsia" w:hAnsi="仿宋"/>
          <w:color w:val="auto"/>
          <w:sz w:val="32"/>
          <w:szCs w:val="32"/>
        </w:rPr>
        <w:t>7.结余分配：指事业单位按照会计制度规定缴纳的所得税、提取的专用结余以及转入非财政拨款结余的金额等。</w:t>
      </w:r>
    </w:p>
    <w:p w14:paraId="0EEE3933">
      <w:pPr>
        <w:pStyle w:val="32"/>
        <w:spacing w:line="560" w:lineRule="exact"/>
        <w:ind w:firstLine="640" w:firstLineChars="200"/>
        <w:rPr>
          <w:rFonts w:hAnsi="仿宋"/>
          <w:color w:val="auto"/>
          <w:sz w:val="32"/>
          <w:szCs w:val="32"/>
        </w:rPr>
      </w:pPr>
      <w:r>
        <w:rPr>
          <w:rFonts w:hint="eastAsia" w:hAnsi="仿宋"/>
          <w:color w:val="auto"/>
          <w:sz w:val="32"/>
          <w:szCs w:val="32"/>
        </w:rPr>
        <w:t>8.年末结转和结余：指单位按有关规定结转到下年或以后年度继续使用的资金。</w:t>
      </w:r>
    </w:p>
    <w:p w14:paraId="4FBFFF37">
      <w:pPr>
        <w:ind w:firstLine="640" w:firstLineChars="200"/>
        <w:rPr>
          <w:rFonts w:ascii="仿宋" w:hAnsi="仿宋" w:eastAsia="仿宋" w:cs="仿宋"/>
          <w:sz w:val="32"/>
          <w:szCs w:val="32"/>
        </w:rPr>
      </w:pPr>
      <w:r>
        <w:rPr>
          <w:rFonts w:hint="eastAsia" w:ascii="仿宋" w:hAnsi="仿宋" w:eastAsia="仿宋" w:cs="仿宋"/>
          <w:sz w:val="32"/>
          <w:szCs w:val="32"/>
        </w:rPr>
        <w:t>9.基本支出：指为保障机构正常运转、完成日常工作任务而发生的人员支出和公用支出。</w:t>
      </w:r>
    </w:p>
    <w:p w14:paraId="03A257FA">
      <w:pPr>
        <w:ind w:firstLine="640" w:firstLineChars="200"/>
        <w:rPr>
          <w:rFonts w:ascii="仿宋" w:hAnsi="仿宋" w:eastAsia="仿宋" w:cs="仿宋"/>
          <w:sz w:val="32"/>
          <w:szCs w:val="32"/>
        </w:rPr>
      </w:pPr>
      <w:r>
        <w:rPr>
          <w:rFonts w:hint="eastAsia" w:ascii="仿宋" w:hAnsi="仿宋" w:eastAsia="仿宋" w:cs="仿宋"/>
          <w:sz w:val="32"/>
          <w:szCs w:val="32"/>
        </w:rPr>
        <w:t xml:space="preserve">10.项目支出：指在基本支出之外为完成特定行政任务和事业发展目标所发生的支出。 </w:t>
      </w:r>
    </w:p>
    <w:p w14:paraId="22443A12">
      <w:pPr>
        <w:ind w:firstLine="640" w:firstLineChars="200"/>
        <w:rPr>
          <w:rFonts w:ascii="仿宋" w:hAnsi="仿宋" w:eastAsia="仿宋" w:cs="仿宋"/>
          <w:sz w:val="32"/>
          <w:szCs w:val="32"/>
        </w:rPr>
      </w:pPr>
      <w:r>
        <w:rPr>
          <w:rFonts w:hint="eastAsia" w:ascii="仿宋" w:hAnsi="仿宋" w:eastAsia="仿宋" w:cs="仿宋"/>
          <w:sz w:val="32"/>
          <w:szCs w:val="32"/>
        </w:rPr>
        <w:t>11.经营支出：指事业单位在专业业务活动及其辅助活动之外开展非独立核算经营活动发生的支出。</w:t>
      </w:r>
    </w:p>
    <w:p w14:paraId="13C13B74">
      <w:pPr>
        <w:pStyle w:val="32"/>
        <w:spacing w:line="560" w:lineRule="exact"/>
        <w:ind w:firstLine="640" w:firstLineChars="200"/>
        <w:rPr>
          <w:rFonts w:hAnsi="仿宋"/>
          <w:color w:val="auto"/>
          <w:sz w:val="32"/>
          <w:szCs w:val="32"/>
        </w:rPr>
      </w:pPr>
      <w:r>
        <w:rPr>
          <w:rFonts w:hint="eastAsia" w:hAnsi="仿宋"/>
          <w:color w:val="auto"/>
          <w:sz w:val="32"/>
          <w:szCs w:val="32"/>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07AFD36">
      <w:pPr>
        <w:pStyle w:val="32"/>
        <w:spacing w:line="560" w:lineRule="exact"/>
        <w:ind w:firstLine="640" w:firstLineChars="200"/>
        <w:rPr>
          <w:rFonts w:hAnsi="仿宋"/>
          <w:color w:val="auto"/>
          <w:sz w:val="32"/>
          <w:szCs w:val="32"/>
        </w:rPr>
      </w:pPr>
      <w:r>
        <w:rPr>
          <w:rFonts w:hint="eastAsia" w:hAnsi="仿宋"/>
          <w:color w:val="auto"/>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4BFBC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14.教育支出：保障江林小学教学机构的正常运转、完成日常教育教学工作任务。</w:t>
      </w:r>
      <w:bookmarkStart w:id="101" w:name="_Toc208166661"/>
    </w:p>
    <w:p w14:paraId="7E510F81">
      <w:pPr>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15</w:t>
      </w:r>
      <w:r>
        <w:rPr>
          <w:rFonts w:hint="eastAsia" w:ascii="仿宋" w:hAnsi="仿宋" w:eastAsia="仿宋" w:cs="仿宋"/>
          <w:kern w:val="0"/>
          <w:sz w:val="32"/>
          <w:szCs w:val="32"/>
        </w:rPr>
        <w:t>．小学教育：主要反映江林小学的小学教育支出，政府部门对社会组织等举办的小学的资助，如各类补贴等。</w:t>
      </w:r>
      <w:bookmarkEnd w:id="101"/>
    </w:p>
    <w:p w14:paraId="11532E1D">
      <w:pPr>
        <w:spacing w:line="600" w:lineRule="exact"/>
        <w:ind w:firstLine="636" w:firstLineChars="199"/>
        <w:rPr>
          <w:rFonts w:ascii="仿宋" w:hAnsi="仿宋" w:eastAsia="仿宋" w:cs="仿宋"/>
          <w:kern w:val="0"/>
          <w:sz w:val="32"/>
          <w:szCs w:val="32"/>
        </w:rPr>
      </w:pPr>
      <w:r>
        <w:rPr>
          <w:rFonts w:hint="eastAsia" w:ascii="仿宋" w:hAnsi="仿宋" w:eastAsia="仿宋" w:cs="仿宋"/>
          <w:kern w:val="0"/>
          <w:sz w:val="32"/>
          <w:szCs w:val="32"/>
        </w:rPr>
        <w:t>16．机关事业单位基本养老保险缴费支出：主要反映江林小学实施养老保险制度由单位缴纳的基本养老保险支出。</w:t>
      </w:r>
    </w:p>
    <w:p w14:paraId="5B58753E">
      <w:pPr>
        <w:pStyle w:val="9"/>
        <w:spacing w:before="93"/>
        <w:ind w:firstLine="640" w:firstLineChars="200"/>
        <w:rPr>
          <w:rFonts w:ascii="仿宋" w:hAnsi="仿宋" w:eastAsia="仿宋" w:cs="仿宋"/>
          <w:sz w:val="32"/>
          <w:szCs w:val="32"/>
        </w:rPr>
      </w:pPr>
      <w:r>
        <w:rPr>
          <w:rFonts w:hint="eastAsia" w:ascii="仿宋" w:hAnsi="仿宋" w:eastAsia="仿宋" w:cs="仿宋"/>
          <w:sz w:val="32"/>
          <w:szCs w:val="32"/>
        </w:rPr>
        <w:t>17.  其他教育费附加安排的支出是：指由园区配套资金安排的，用于改善校园安全和环境，如校园绿化、交通安全设施、校园安保设施等。</w:t>
      </w:r>
    </w:p>
    <w:p w14:paraId="6E95EEA6">
      <w:pPr>
        <w:spacing w:line="600" w:lineRule="exact"/>
        <w:ind w:firstLine="640"/>
        <w:rPr>
          <w:rFonts w:eastAsia="仿宋_GB2312" w:cs="仿宋_GB2312"/>
          <w:sz w:val="32"/>
          <w:szCs w:val="32"/>
        </w:rPr>
      </w:pPr>
      <w:r>
        <w:rPr>
          <w:rFonts w:hint="eastAsia" w:eastAsia="仿宋_GB2312" w:cs="仿宋_GB2312"/>
          <w:b/>
          <w:bCs/>
          <w:sz w:val="32"/>
          <w:szCs w:val="32"/>
        </w:rPr>
        <w:t>（注：解释本部门决算报表中涉及的全部功能分类科目至项级，不涉及的科目请自行删除。请参照《2024年政府收支分类科目》增减内容）</w:t>
      </w:r>
    </w:p>
    <w:p w14:paraId="304B00E6">
      <w:pPr>
        <w:spacing w:line="600" w:lineRule="exact"/>
        <w:ind w:firstLine="640"/>
        <w:rPr>
          <w:rFonts w:eastAsia="仿宋_GB2312" w:cs="仿宋_GB2312"/>
          <w:b/>
          <w:bCs/>
          <w:sz w:val="32"/>
          <w:szCs w:val="32"/>
        </w:rPr>
      </w:pPr>
      <w:r>
        <w:rPr>
          <w:rFonts w:hint="eastAsia" w:eastAsia="仿宋_GB2312" w:cs="仿宋_GB2312"/>
          <w:b/>
          <w:bCs/>
          <w:sz w:val="32"/>
          <w:szCs w:val="32"/>
        </w:rPr>
        <w:t>（注：名词解释部分请根据各部门实际列支情况罗列，并根据本部门职责职能增减名词解释内容）</w:t>
      </w:r>
    </w:p>
    <w:p w14:paraId="5DF77F7F">
      <w:pPr>
        <w:spacing w:line="600" w:lineRule="exact"/>
        <w:jc w:val="center"/>
        <w:outlineLvl w:val="0"/>
        <w:rPr>
          <w:rStyle w:val="34"/>
          <w:rFonts w:eastAsia="黑体"/>
          <w:b w:val="0"/>
        </w:rPr>
      </w:pPr>
      <w:bookmarkStart w:id="102" w:name="_Toc15377226"/>
      <w:r>
        <w:rPr>
          <w:rFonts w:hint="eastAsia" w:eastAsia="仿宋_GB2312" w:cs="仿宋_GB2312"/>
          <w:sz w:val="32"/>
          <w:szCs w:val="32"/>
        </w:rPr>
        <w:br w:type="page"/>
      </w:r>
      <w:bookmarkStart w:id="103" w:name="_Toc15396614"/>
      <w:bookmarkStart w:id="104" w:name="_Toc208166662"/>
      <w:bookmarkStart w:id="105" w:name="_Toc208166869"/>
      <w:bookmarkStart w:id="106" w:name="_Toc208166991"/>
      <w:r>
        <w:rPr>
          <w:rFonts w:hint="eastAsia" w:eastAsia="黑体"/>
          <w:sz w:val="44"/>
          <w:szCs w:val="44"/>
        </w:rPr>
        <w:t>第四部分附件</w:t>
      </w:r>
      <w:bookmarkEnd w:id="103"/>
      <w:bookmarkEnd w:id="104"/>
      <w:bookmarkEnd w:id="105"/>
      <w:bookmarkEnd w:id="106"/>
    </w:p>
    <w:p w14:paraId="26764001">
      <w:pPr>
        <w:spacing w:line="572" w:lineRule="exact"/>
        <w:jc w:val="left"/>
        <w:outlineLvl w:val="0"/>
        <w:rPr>
          <w:rFonts w:eastAsia="黑体" w:cs="黑体"/>
          <w:color w:val="FF0000"/>
          <w:sz w:val="32"/>
          <w:szCs w:val="32"/>
        </w:rPr>
      </w:pPr>
    </w:p>
    <w:p w14:paraId="61D64C8F">
      <w:pPr>
        <w:pStyle w:val="9"/>
        <w:spacing w:before="93"/>
        <w:rPr>
          <w:rFonts w:ascii="Times New Roman" w:eastAsia="黑体" w:cs="黑体"/>
          <w:sz w:val="32"/>
          <w:szCs w:val="32"/>
          <w:shd w:val="clear" w:color="auto" w:fill="FFFFFF"/>
          <w:lang w:val="zh-CN"/>
        </w:rPr>
      </w:pPr>
      <w:r>
        <w:rPr>
          <w:rFonts w:hint="eastAsia" w:ascii="Times New Roman" w:eastAsia="黑体" w:cs="黑体"/>
          <w:sz w:val="32"/>
          <w:szCs w:val="32"/>
          <w:shd w:val="clear" w:color="auto" w:fill="FFFFFF"/>
          <w:lang w:val="zh-CN"/>
        </w:rPr>
        <w:t>附件1</w:t>
      </w:r>
    </w:p>
    <w:p w14:paraId="583D481E">
      <w:pPr>
        <w:widowControl/>
        <w:spacing w:line="578" w:lineRule="exact"/>
        <w:contextualSpacing/>
        <w:jc w:val="center"/>
        <w:rPr>
          <w:rFonts w:eastAsia="方正小标宋简体"/>
          <w:bCs/>
          <w:sz w:val="44"/>
          <w:szCs w:val="44"/>
          <w:shd w:val="clear" w:color="auto" w:fill="FFFFFF"/>
        </w:rPr>
      </w:pPr>
      <w:r>
        <w:rPr>
          <w:rFonts w:hint="eastAsia" w:eastAsia="方正小标宋简体"/>
          <w:bCs/>
          <w:sz w:val="44"/>
          <w:szCs w:val="44"/>
          <w:shd w:val="clear" w:color="auto" w:fill="FFFFFF"/>
        </w:rPr>
        <w:t>江林小学</w:t>
      </w:r>
      <w:r>
        <w:rPr>
          <w:rFonts w:eastAsia="方正小标宋简体"/>
          <w:bCs/>
          <w:sz w:val="44"/>
          <w:szCs w:val="44"/>
          <w:shd w:val="clear" w:color="auto" w:fill="FFFFFF"/>
        </w:rPr>
        <w:t>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37F46B61">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04489196">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部门基本情况</w:t>
      </w:r>
    </w:p>
    <w:p w14:paraId="24D03E63">
      <w:pPr>
        <w:widowControl/>
        <w:adjustRightInd w:val="0"/>
        <w:snapToGrid w:val="0"/>
        <w:spacing w:after="160" w:line="560" w:lineRule="exact"/>
        <w:ind w:firstLine="643" w:firstLineChars="200"/>
        <w:contextualSpacing/>
        <w:jc w:val="left"/>
        <w:rPr>
          <w:rFonts w:ascii="仿宋" w:hAnsi="仿宋" w:eastAsia="仿宋" w:cs="仿宋"/>
          <w:b/>
          <w:bCs/>
          <w:kern w:val="0"/>
          <w:sz w:val="32"/>
          <w:szCs w:val="32"/>
          <w:lang w:val="zh-CN"/>
        </w:rPr>
      </w:pPr>
      <w:r>
        <w:rPr>
          <w:rFonts w:hint="eastAsia" w:ascii="仿宋" w:hAnsi="仿宋" w:eastAsia="仿宋" w:cs="仿宋"/>
          <w:b/>
          <w:bCs/>
          <w:kern w:val="0"/>
          <w:sz w:val="32"/>
          <w:szCs w:val="32"/>
          <w:lang w:val="zh-CN"/>
        </w:rPr>
        <w:t>（一）</w:t>
      </w:r>
      <w:r>
        <w:rPr>
          <w:rFonts w:ascii="仿宋" w:hAnsi="仿宋" w:eastAsia="仿宋" w:cs="仿宋"/>
          <w:b/>
          <w:bCs/>
          <w:kern w:val="0"/>
          <w:sz w:val="32"/>
          <w:szCs w:val="32"/>
          <w:lang w:val="zh-CN"/>
        </w:rPr>
        <w:t>机构组成。</w:t>
      </w:r>
    </w:p>
    <w:p w14:paraId="25B3ECEC">
      <w:pPr>
        <w:pStyle w:val="32"/>
        <w:spacing w:line="560" w:lineRule="exact"/>
        <w:ind w:firstLine="640" w:firstLineChars="200"/>
        <w:rPr>
          <w:rFonts w:hAnsi="仿宋"/>
          <w:color w:val="auto"/>
          <w:sz w:val="32"/>
          <w:szCs w:val="32"/>
        </w:rPr>
      </w:pPr>
      <w:r>
        <w:rPr>
          <w:rFonts w:hint="eastAsia" w:hAnsi="仿宋"/>
          <w:color w:val="auto"/>
          <w:sz w:val="32"/>
          <w:szCs w:val="32"/>
        </w:rPr>
        <w:t>攀枝花市仁和区江林小学二级事业单位1个。共设教务、总务、德育、办公室4个职能部门。</w:t>
      </w:r>
    </w:p>
    <w:p w14:paraId="7C0DFBFC">
      <w:pPr>
        <w:pStyle w:val="9"/>
        <w:spacing w:before="93"/>
        <w:ind w:firstLine="643" w:firstLineChars="200"/>
        <w:rPr>
          <w:rFonts w:ascii="仿宋" w:hAnsi="仿宋" w:eastAsia="仿宋" w:cs="仿宋"/>
          <w:b/>
          <w:bCs/>
          <w:sz w:val="32"/>
          <w:szCs w:val="32"/>
        </w:rPr>
      </w:pPr>
      <w:r>
        <w:rPr>
          <w:rFonts w:ascii="仿宋" w:hAnsi="仿宋" w:eastAsia="仿宋" w:cs="仿宋"/>
          <w:b/>
          <w:bCs/>
          <w:sz w:val="32"/>
          <w:szCs w:val="32"/>
        </w:rPr>
        <w:t>（二）机构职能</w:t>
      </w:r>
      <w:r>
        <w:rPr>
          <w:rFonts w:hint="eastAsia" w:ascii="仿宋" w:hAnsi="仿宋" w:eastAsia="仿宋" w:cs="仿宋"/>
          <w:b/>
          <w:bCs/>
          <w:sz w:val="32"/>
          <w:szCs w:val="32"/>
        </w:rPr>
        <w:t>。</w:t>
      </w:r>
    </w:p>
    <w:p w14:paraId="18C70DAE">
      <w:pPr>
        <w:pStyle w:val="9"/>
        <w:spacing w:before="93"/>
        <w:ind w:firstLine="640" w:firstLineChars="200"/>
        <w:rPr>
          <w:rFonts w:ascii="仿宋" w:hAnsi="仿宋" w:eastAsia="仿宋" w:cs="仿宋"/>
          <w:sz w:val="32"/>
          <w:szCs w:val="32"/>
        </w:rPr>
      </w:pPr>
      <w:r>
        <w:rPr>
          <w:rFonts w:hint="eastAsia" w:ascii="仿宋" w:hAnsi="仿宋" w:eastAsia="仿宋" w:cs="仿宋"/>
          <w:sz w:val="32"/>
          <w:szCs w:val="32"/>
        </w:rPr>
        <w:t>江林小学主要职能是：完成九年义务教育小学阶段的义务教育。全面贯彻教育方针，创办特色学校。坚持正确的办学方向，全面贯彻党和国家的教育方针，做到依法治校，依法治教，依法治学，严格执行国家课程计划和教学大纲，开齐课程、开足课时，做到课程表与分工表和实际上课的“三个一致”。严肃校风校纪，杜绝了打骂、体罚学生或变相体罚学生的现象，使学校形成了善教、乐学的氛围，充分发挥学生特长，面向全体学生，扎实推进素质教育，从而逐步形成我校的办学特色。</w:t>
      </w:r>
    </w:p>
    <w:p w14:paraId="4149E944">
      <w:pPr>
        <w:widowControl/>
        <w:adjustRightInd w:val="0"/>
        <w:snapToGrid w:val="0"/>
        <w:spacing w:line="578" w:lineRule="exact"/>
        <w:ind w:firstLine="643" w:firstLineChars="200"/>
        <w:contextualSpacing/>
        <w:jc w:val="left"/>
        <w:rPr>
          <w:rFonts w:ascii="仿宋" w:hAnsi="仿宋" w:eastAsia="仿宋" w:cs="仿宋"/>
          <w:b/>
          <w:bCs/>
          <w:kern w:val="0"/>
          <w:sz w:val="32"/>
          <w:szCs w:val="32"/>
        </w:rPr>
      </w:pPr>
      <w:r>
        <w:rPr>
          <w:rFonts w:ascii="仿宋" w:hAnsi="仿宋" w:eastAsia="仿宋" w:cs="仿宋"/>
          <w:b/>
          <w:bCs/>
          <w:kern w:val="0"/>
          <w:sz w:val="32"/>
          <w:szCs w:val="32"/>
        </w:rPr>
        <w:t>（</w:t>
      </w:r>
      <w:r>
        <w:rPr>
          <w:rFonts w:hint="eastAsia" w:ascii="仿宋" w:hAnsi="仿宋" w:eastAsia="仿宋" w:cs="仿宋"/>
          <w:b/>
          <w:bCs/>
          <w:kern w:val="0"/>
          <w:sz w:val="32"/>
          <w:szCs w:val="32"/>
        </w:rPr>
        <w:t>三</w:t>
      </w:r>
      <w:r>
        <w:rPr>
          <w:rFonts w:ascii="仿宋" w:hAnsi="仿宋" w:eastAsia="仿宋" w:cs="仿宋"/>
          <w:b/>
          <w:bCs/>
          <w:kern w:val="0"/>
          <w:sz w:val="32"/>
          <w:szCs w:val="32"/>
        </w:rPr>
        <w:t>）人员概况</w:t>
      </w:r>
      <w:r>
        <w:rPr>
          <w:rFonts w:hint="eastAsia" w:ascii="仿宋" w:hAnsi="仿宋" w:eastAsia="仿宋" w:cs="仿宋"/>
          <w:b/>
          <w:bCs/>
          <w:kern w:val="0"/>
          <w:sz w:val="32"/>
          <w:szCs w:val="32"/>
        </w:rPr>
        <w:t>。</w:t>
      </w:r>
    </w:p>
    <w:p w14:paraId="6FE721EF">
      <w:pPr>
        <w:pStyle w:val="32"/>
        <w:spacing w:line="560" w:lineRule="exact"/>
        <w:ind w:firstLine="640" w:firstLineChars="200"/>
        <w:rPr>
          <w:rFonts w:hAnsi="仿宋"/>
          <w:color w:val="auto"/>
          <w:sz w:val="32"/>
          <w:szCs w:val="32"/>
        </w:rPr>
      </w:pPr>
      <w:r>
        <w:rPr>
          <w:rFonts w:hint="eastAsia" w:hAnsi="仿宋"/>
          <w:color w:val="auto"/>
          <w:sz w:val="32"/>
          <w:szCs w:val="32"/>
        </w:rPr>
        <w:t>江林小学2024年共有20名在职教师，6名退休教师。截至2024年12月31日江林小学共有10个教学班级，359名学生。</w:t>
      </w:r>
    </w:p>
    <w:p w14:paraId="4A3AB079">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18CB04FA">
      <w:pPr>
        <w:pStyle w:val="32"/>
        <w:spacing w:line="560" w:lineRule="exact"/>
        <w:ind w:firstLine="643" w:firstLineChars="200"/>
        <w:rPr>
          <w:rFonts w:eastAsia="楷体_GB2312"/>
          <w:b/>
          <w:bCs/>
          <w:sz w:val="32"/>
          <w:szCs w:val="32"/>
          <w:shd w:val="clear" w:color="auto" w:fill="FFFFFF"/>
          <w:lang w:val="zh-CN"/>
        </w:rPr>
      </w:pPr>
      <w:r>
        <w:rPr>
          <w:rFonts w:eastAsia="楷体_GB2312"/>
          <w:b/>
          <w:bCs/>
          <w:sz w:val="32"/>
          <w:szCs w:val="32"/>
          <w:shd w:val="clear" w:color="auto" w:fill="FFFFFF"/>
          <w:lang w:val="zh-CN"/>
        </w:rPr>
        <w:t>（一）</w:t>
      </w:r>
      <w:r>
        <w:rPr>
          <w:rFonts w:hint="eastAsia" w:eastAsia="楷体_GB2312"/>
          <w:b/>
          <w:bCs/>
          <w:sz w:val="32"/>
          <w:szCs w:val="32"/>
          <w:shd w:val="clear" w:color="auto" w:fill="FFFFFF"/>
          <w:lang w:val="zh-CN"/>
        </w:rPr>
        <w:t>收入情况</w:t>
      </w:r>
      <w:r>
        <w:rPr>
          <w:rFonts w:eastAsia="楷体_GB2312"/>
          <w:b/>
          <w:bCs/>
          <w:sz w:val="32"/>
          <w:szCs w:val="32"/>
          <w:shd w:val="clear" w:color="auto" w:fill="FFFFFF"/>
          <w:lang w:val="zh-CN"/>
        </w:rPr>
        <w:t>。</w:t>
      </w:r>
    </w:p>
    <w:p w14:paraId="0B34128C">
      <w:pPr>
        <w:pStyle w:val="32"/>
        <w:spacing w:line="560" w:lineRule="exact"/>
        <w:ind w:firstLine="640" w:firstLineChars="200"/>
        <w:rPr>
          <w:rFonts w:hAnsi="仿宋"/>
          <w:color w:val="000000" w:themeColor="text1"/>
          <w:sz w:val="32"/>
          <w:szCs w:val="32"/>
          <w:lang w:val="zh-CN"/>
        </w:rPr>
      </w:pPr>
      <w:r>
        <w:rPr>
          <w:rFonts w:hint="eastAsia" w:hAnsi="仿宋"/>
          <w:color w:val="000000" w:themeColor="text1"/>
          <w:sz w:val="32"/>
          <w:szCs w:val="32"/>
          <w:lang w:val="zh-CN"/>
        </w:rPr>
        <w:t>2024年江林小学一般公共预算财政拨款年初预算收入总额为603.92万元，年底决算数为597.86万元，决算数比预算减少6.06万元，增加了1.00%，是因为中央、省级和市级生均公用经费用未纳入年初预算。</w:t>
      </w:r>
    </w:p>
    <w:p w14:paraId="385B9E09">
      <w:pPr>
        <w:pStyle w:val="32"/>
        <w:spacing w:line="560" w:lineRule="exact"/>
        <w:ind w:firstLine="640" w:firstLineChars="200"/>
        <w:rPr>
          <w:rFonts w:hAnsi="仿宋"/>
          <w:color w:val="000000" w:themeColor="text1"/>
          <w:sz w:val="32"/>
          <w:szCs w:val="32"/>
        </w:rPr>
      </w:pPr>
      <w:r>
        <w:rPr>
          <w:rFonts w:hint="eastAsia" w:hAnsi="仿宋"/>
          <w:color w:val="000000" w:themeColor="text1"/>
          <w:sz w:val="32"/>
          <w:szCs w:val="32"/>
          <w:lang w:val="zh-CN"/>
        </w:rPr>
        <w:t>江林小学2024年本年年底决算收入合计697.86万元，其中：一般公共预算财政拨款收入6</w:t>
      </w:r>
      <w:r>
        <w:rPr>
          <w:rFonts w:hint="eastAsia" w:hAnsi="仿宋"/>
          <w:color w:val="000000" w:themeColor="text1"/>
          <w:sz w:val="32"/>
          <w:szCs w:val="32"/>
        </w:rPr>
        <w:t>57.09</w:t>
      </w:r>
      <w:r>
        <w:rPr>
          <w:rFonts w:hint="eastAsia" w:hAnsi="仿宋"/>
          <w:color w:val="000000" w:themeColor="text1"/>
          <w:sz w:val="32"/>
          <w:szCs w:val="32"/>
          <w:lang w:val="zh-CN"/>
        </w:rPr>
        <w:t>万元，占</w:t>
      </w:r>
      <w:r>
        <w:rPr>
          <w:rFonts w:hint="eastAsia" w:hAnsi="仿宋"/>
          <w:color w:val="000000" w:themeColor="text1"/>
          <w:sz w:val="32"/>
          <w:szCs w:val="32"/>
        </w:rPr>
        <w:t>94.16</w:t>
      </w:r>
      <w:r>
        <w:rPr>
          <w:rFonts w:hint="eastAsia" w:hAnsi="仿宋"/>
          <w:color w:val="000000" w:themeColor="text1"/>
          <w:sz w:val="32"/>
          <w:szCs w:val="32"/>
          <w:lang w:val="zh-CN"/>
        </w:rPr>
        <w:t>%；政府性基金预算财政拨款收入0万元，占0%；国有资本经营预算财政拨款收入0万元，占0%；上级补助收入0万元，占0%；事业收入0万元，占0%；经营收入0万元，占0%；附属单位上缴收入0万元，占0%；其他收入</w:t>
      </w:r>
      <w:r>
        <w:rPr>
          <w:rFonts w:hint="eastAsia" w:hAnsi="仿宋"/>
          <w:color w:val="000000" w:themeColor="text1"/>
          <w:sz w:val="32"/>
          <w:szCs w:val="32"/>
        </w:rPr>
        <w:t>40.77</w:t>
      </w:r>
      <w:r>
        <w:rPr>
          <w:rFonts w:hint="eastAsia" w:hAnsi="仿宋"/>
          <w:color w:val="000000" w:themeColor="text1"/>
          <w:sz w:val="32"/>
          <w:szCs w:val="32"/>
          <w:lang w:val="zh-CN"/>
        </w:rPr>
        <w:t>万元（</w:t>
      </w:r>
      <w:r>
        <w:rPr>
          <w:rFonts w:hint="eastAsia" w:hAnsi="仿宋"/>
          <w:color w:val="000000" w:themeColor="text1"/>
          <w:sz w:val="32"/>
          <w:szCs w:val="32"/>
        </w:rPr>
        <w:t>学生课后服务费</w:t>
      </w:r>
      <w:r>
        <w:rPr>
          <w:rFonts w:hint="eastAsia" w:hAnsi="仿宋"/>
          <w:color w:val="000000" w:themeColor="text1"/>
          <w:sz w:val="32"/>
          <w:szCs w:val="32"/>
          <w:lang w:val="zh-CN"/>
        </w:rPr>
        <w:t>），占</w:t>
      </w:r>
      <w:r>
        <w:rPr>
          <w:rFonts w:hint="eastAsia" w:hAnsi="仿宋"/>
          <w:color w:val="000000" w:themeColor="text1"/>
          <w:sz w:val="32"/>
          <w:szCs w:val="32"/>
        </w:rPr>
        <w:t>5.84</w:t>
      </w:r>
      <w:r>
        <w:rPr>
          <w:rFonts w:hint="eastAsia" w:hAnsi="仿宋"/>
          <w:color w:val="000000" w:themeColor="text1"/>
          <w:sz w:val="32"/>
          <w:szCs w:val="32"/>
          <w:lang w:val="zh-CN"/>
        </w:rPr>
        <w:t>%。</w:t>
      </w:r>
    </w:p>
    <w:p w14:paraId="7B0CD0E9">
      <w:pPr>
        <w:pStyle w:val="32"/>
        <w:spacing w:line="560" w:lineRule="exact"/>
        <w:ind w:firstLine="643" w:firstLineChars="200"/>
        <w:rPr>
          <w:rFonts w:eastAsia="楷体_GB2312"/>
          <w:b/>
          <w:bCs/>
          <w:sz w:val="32"/>
          <w:szCs w:val="32"/>
          <w:shd w:val="clear" w:color="auto" w:fill="FFFFFF"/>
          <w:lang w:val="zh-CN"/>
        </w:rPr>
      </w:pPr>
      <w:r>
        <w:rPr>
          <w:rFonts w:eastAsia="楷体_GB2312"/>
          <w:b/>
          <w:bCs/>
          <w:sz w:val="32"/>
          <w:szCs w:val="32"/>
          <w:shd w:val="clear" w:color="auto" w:fill="FFFFFF"/>
          <w:lang w:val="zh-CN"/>
        </w:rPr>
        <w:t>（</w:t>
      </w:r>
      <w:r>
        <w:rPr>
          <w:rFonts w:hint="eastAsia" w:eastAsia="楷体_GB2312"/>
          <w:b/>
          <w:bCs/>
          <w:sz w:val="32"/>
          <w:szCs w:val="32"/>
          <w:shd w:val="clear" w:color="auto" w:fill="FFFFFF"/>
          <w:lang w:val="zh-CN"/>
        </w:rPr>
        <w:t>二</w:t>
      </w:r>
      <w:r>
        <w:rPr>
          <w:rFonts w:eastAsia="楷体_GB2312"/>
          <w:b/>
          <w:bCs/>
          <w:sz w:val="32"/>
          <w:szCs w:val="32"/>
          <w:shd w:val="clear" w:color="auto" w:fill="FFFFFF"/>
          <w:lang w:val="zh-CN"/>
        </w:rPr>
        <w:t>）</w:t>
      </w:r>
      <w:r>
        <w:rPr>
          <w:rFonts w:hint="eastAsia" w:eastAsia="楷体_GB2312"/>
          <w:b/>
          <w:bCs/>
          <w:sz w:val="32"/>
          <w:szCs w:val="32"/>
          <w:shd w:val="clear" w:color="auto" w:fill="FFFFFF"/>
          <w:lang w:val="zh-CN"/>
        </w:rPr>
        <w:t>支出情况</w:t>
      </w:r>
      <w:r>
        <w:rPr>
          <w:rFonts w:eastAsia="楷体_GB2312"/>
          <w:b/>
          <w:bCs/>
          <w:sz w:val="32"/>
          <w:szCs w:val="32"/>
          <w:shd w:val="clear" w:color="auto" w:fill="FFFFFF"/>
          <w:lang w:val="zh-CN"/>
        </w:rPr>
        <w:t>。</w:t>
      </w:r>
    </w:p>
    <w:p w14:paraId="060BAE94">
      <w:pPr>
        <w:pStyle w:val="32"/>
        <w:spacing w:line="560" w:lineRule="exact"/>
        <w:ind w:firstLine="640" w:firstLineChars="200"/>
        <w:rPr>
          <w:rFonts w:hAnsi="仿宋"/>
          <w:color w:val="000000" w:themeColor="text1"/>
          <w:sz w:val="32"/>
          <w:szCs w:val="32"/>
          <w:lang w:val="zh-CN"/>
        </w:rPr>
      </w:pPr>
      <w:r>
        <w:rPr>
          <w:rFonts w:hint="eastAsia" w:hAnsi="仿宋"/>
          <w:color w:val="000000" w:themeColor="text1"/>
          <w:sz w:val="32"/>
          <w:szCs w:val="32"/>
          <w:lang w:val="zh-CN"/>
        </w:rPr>
        <w:t>2024年江林小学一般公共预算财政拨款年初预算支出总额为657.09万元，年底决算数为657.09万元，决算数比预算减少0万元，减少了0%，是因为中央、省级和市级生均公用经费用未纳入年初预算。</w:t>
      </w:r>
    </w:p>
    <w:p w14:paraId="6BDDF9A6">
      <w:pPr>
        <w:pStyle w:val="32"/>
        <w:spacing w:line="560" w:lineRule="exact"/>
        <w:ind w:firstLine="640" w:firstLineChars="200"/>
        <w:rPr>
          <w:rFonts w:hAnsi="仿宋"/>
          <w:color w:val="000000" w:themeColor="text1"/>
          <w:sz w:val="32"/>
          <w:szCs w:val="32"/>
          <w:lang w:val="zh-CN"/>
        </w:rPr>
      </w:pPr>
      <w:r>
        <w:rPr>
          <w:rFonts w:hint="eastAsia" w:hAnsi="仿宋"/>
          <w:color w:val="000000" w:themeColor="text1"/>
          <w:sz w:val="32"/>
          <w:szCs w:val="32"/>
          <w:lang w:val="zh-CN"/>
        </w:rPr>
        <w:t>江林小学2024年本年决算总支出合计657.09万元，其中：一般公共预算财政拨款支出657.09万元，其他收入支出40.77万元（课后服务费支出）。</w:t>
      </w:r>
    </w:p>
    <w:p w14:paraId="53C4F39D">
      <w:pPr>
        <w:pStyle w:val="32"/>
        <w:spacing w:line="560" w:lineRule="exact"/>
        <w:ind w:firstLine="643" w:firstLineChars="200"/>
        <w:rPr>
          <w:rFonts w:eastAsia="楷体_GB2312"/>
          <w:b/>
          <w:bCs/>
          <w:sz w:val="32"/>
          <w:szCs w:val="32"/>
          <w:shd w:val="clear" w:color="auto" w:fill="FFFFFF"/>
          <w:lang w:val="zh-CN"/>
        </w:rPr>
      </w:pPr>
      <w:r>
        <w:rPr>
          <w:rFonts w:eastAsia="楷体_GB2312"/>
          <w:b/>
          <w:bCs/>
          <w:sz w:val="32"/>
          <w:szCs w:val="32"/>
          <w:shd w:val="clear" w:color="auto" w:fill="FFFFFF"/>
          <w:lang w:val="zh-CN"/>
        </w:rPr>
        <w:t>（</w:t>
      </w:r>
      <w:r>
        <w:rPr>
          <w:rFonts w:hint="eastAsia" w:eastAsia="楷体_GB2312"/>
          <w:b/>
          <w:bCs/>
          <w:sz w:val="32"/>
          <w:szCs w:val="32"/>
          <w:shd w:val="clear" w:color="auto" w:fill="FFFFFF"/>
          <w:lang w:val="zh-CN"/>
        </w:rPr>
        <w:t>三</w:t>
      </w:r>
      <w:r>
        <w:rPr>
          <w:rFonts w:eastAsia="楷体_GB2312"/>
          <w:b/>
          <w:bCs/>
          <w:sz w:val="32"/>
          <w:szCs w:val="32"/>
          <w:shd w:val="clear" w:color="auto" w:fill="FFFFFF"/>
          <w:lang w:val="zh-CN"/>
        </w:rPr>
        <w:t>）结余分配和结转结余情况</w:t>
      </w:r>
      <w:r>
        <w:rPr>
          <w:rFonts w:hint="eastAsia" w:eastAsia="楷体_GB2312"/>
          <w:b/>
          <w:bCs/>
          <w:sz w:val="32"/>
          <w:szCs w:val="32"/>
          <w:shd w:val="clear" w:color="auto" w:fill="FFFFFF"/>
          <w:lang w:val="zh-CN"/>
        </w:rPr>
        <w:t>。</w:t>
      </w:r>
    </w:p>
    <w:p w14:paraId="58A5BE4F">
      <w:pPr>
        <w:pStyle w:val="32"/>
        <w:spacing w:line="560" w:lineRule="exact"/>
        <w:ind w:firstLine="640" w:firstLineChars="200"/>
        <w:rPr>
          <w:rFonts w:hAnsi="仿宋"/>
          <w:color w:val="C00000"/>
          <w:sz w:val="32"/>
          <w:szCs w:val="32"/>
        </w:rPr>
      </w:pPr>
      <w:r>
        <w:rPr>
          <w:rFonts w:hint="eastAsia" w:hAnsi="仿宋"/>
          <w:color w:val="000000" w:themeColor="text1"/>
          <w:sz w:val="32"/>
          <w:szCs w:val="32"/>
          <w:lang w:val="zh-CN"/>
        </w:rPr>
        <w:t>江林小学2023年和2024年均无财政资金的年末结转和结余情况。2024年非财政拨款收入年末结余是0万元</w:t>
      </w:r>
      <w:r>
        <w:rPr>
          <w:rFonts w:hint="eastAsia" w:hAnsi="仿宋"/>
          <w:color w:val="C00000"/>
          <w:sz w:val="32"/>
          <w:szCs w:val="32"/>
        </w:rPr>
        <w:t>。</w:t>
      </w:r>
    </w:p>
    <w:p w14:paraId="520544C4">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163CE089">
      <w:p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51D0DD27">
      <w:pPr>
        <w:pStyle w:val="32"/>
        <w:spacing w:line="560" w:lineRule="exact"/>
        <w:ind w:firstLine="640" w:firstLineChars="200"/>
        <w:rPr>
          <w:rFonts w:hAnsi="仿宋"/>
          <w:color w:val="auto"/>
          <w:sz w:val="32"/>
          <w:szCs w:val="32"/>
        </w:rPr>
      </w:pPr>
      <w:r>
        <w:rPr>
          <w:rFonts w:hint="eastAsia" w:hAnsi="仿宋"/>
          <w:color w:val="auto"/>
          <w:sz w:val="32"/>
          <w:szCs w:val="32"/>
        </w:rPr>
        <w:t>首先保障江林小学20名在职人员和6名离退休人员的正常薪酬、正常办公、生活秩序；坚决执行党和国家的教育方针政策，尤其关注留守儿童的成长和教育；管好用好国家的教育资金，改善和优化农村的办学条件；把教育教学质量放在首位，提高教师从教的幸福感，办人民满意的教育；争创攀枝花市文明校园。</w:t>
      </w:r>
    </w:p>
    <w:p w14:paraId="3BDC5FCE">
      <w:pPr>
        <w:pStyle w:val="32"/>
        <w:spacing w:line="560" w:lineRule="exact"/>
        <w:ind w:firstLine="640" w:firstLineChars="200"/>
        <w:rPr>
          <w:rFonts w:hAnsi="仿宋"/>
          <w:color w:val="auto"/>
          <w:sz w:val="32"/>
          <w:szCs w:val="32"/>
        </w:rPr>
      </w:pPr>
      <w:r>
        <w:rPr>
          <w:rFonts w:hint="eastAsia" w:hAnsi="仿宋"/>
          <w:color w:val="auto"/>
          <w:sz w:val="32"/>
          <w:szCs w:val="32"/>
        </w:rPr>
        <w:t>其次保障学校的安全和后勤工作的正常开展。通过项目的实施，激励教师工作积极性，促进教师的专业成长。持续开展小手拉大手活动，改善人居环境，体现政策导向，激发教师队伍活力。</w:t>
      </w:r>
    </w:p>
    <w:p w14:paraId="51FF88E2">
      <w:pPr>
        <w:pStyle w:val="32"/>
        <w:spacing w:line="560" w:lineRule="exact"/>
        <w:ind w:firstLine="640" w:firstLineChars="200"/>
        <w:rPr>
          <w:rFonts w:hAnsi="仿宋"/>
          <w:color w:val="auto"/>
          <w:sz w:val="32"/>
          <w:szCs w:val="32"/>
        </w:rPr>
      </w:pPr>
      <w:r>
        <w:rPr>
          <w:rFonts w:hint="eastAsia" w:hAnsi="仿宋"/>
          <w:color w:val="auto"/>
          <w:sz w:val="32"/>
          <w:szCs w:val="32"/>
        </w:rPr>
        <w:t>最后保障了2024年度江林小学359名学生营养餐费用和作业本费用的正常支付。保障学生的健康成长和学习需求，是实现城乡教育均衡发展的需要，是利国利民的大好事。通过该项目的实施，力争使钒钛园区相关部门领导和社会对江林小学项目实施的满意度达到满意及以上。</w:t>
      </w:r>
    </w:p>
    <w:p w14:paraId="2DF25853">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履职效能。</w:t>
      </w:r>
    </w:p>
    <w:p w14:paraId="166DFBF1">
      <w:pPr>
        <w:pStyle w:val="32"/>
        <w:spacing w:line="560" w:lineRule="exact"/>
        <w:ind w:firstLine="640" w:firstLineChars="200"/>
        <w:rPr>
          <w:rFonts w:hAnsi="仿宋"/>
          <w:color w:val="auto"/>
          <w:sz w:val="32"/>
          <w:szCs w:val="32"/>
        </w:rPr>
      </w:pPr>
      <w:r>
        <w:rPr>
          <w:rFonts w:hint="eastAsia" w:hAnsi="仿宋"/>
          <w:color w:val="auto"/>
          <w:sz w:val="32"/>
          <w:szCs w:val="32"/>
        </w:rPr>
        <w:t>（1）社会效益指标，通过项目的实施，激励教师工作积极性，促进教师的专业成长。</w:t>
      </w:r>
    </w:p>
    <w:p w14:paraId="48B0CCE8">
      <w:pPr>
        <w:pStyle w:val="32"/>
        <w:spacing w:line="560" w:lineRule="exact"/>
        <w:ind w:firstLine="640" w:firstLineChars="200"/>
        <w:rPr>
          <w:rFonts w:hAnsi="仿宋"/>
          <w:color w:val="auto"/>
          <w:sz w:val="32"/>
          <w:szCs w:val="32"/>
        </w:rPr>
      </w:pPr>
      <w:r>
        <w:rPr>
          <w:rFonts w:hint="eastAsia" w:hAnsi="仿宋"/>
          <w:color w:val="auto"/>
          <w:sz w:val="32"/>
          <w:szCs w:val="32"/>
        </w:rPr>
        <w:t>（2）环境效益指标，持续开展小手拉大手活动，改善人居环境。</w:t>
      </w:r>
    </w:p>
    <w:p w14:paraId="50A4F152">
      <w:pPr>
        <w:pStyle w:val="32"/>
        <w:spacing w:line="560" w:lineRule="exact"/>
        <w:ind w:firstLine="640" w:firstLineChars="200"/>
        <w:rPr>
          <w:rFonts w:hAnsi="仿宋"/>
          <w:color w:val="auto"/>
          <w:sz w:val="32"/>
          <w:szCs w:val="32"/>
        </w:rPr>
      </w:pPr>
      <w:r>
        <w:rPr>
          <w:rFonts w:hint="eastAsia" w:hAnsi="仿宋"/>
          <w:color w:val="auto"/>
          <w:sz w:val="32"/>
          <w:szCs w:val="32"/>
        </w:rPr>
        <w:t>（3）可持续影响指标，体现政策导向，激发教师队伍活力。</w:t>
      </w:r>
    </w:p>
    <w:p w14:paraId="2466A995">
      <w:pPr>
        <w:pStyle w:val="32"/>
        <w:spacing w:line="560" w:lineRule="exact"/>
        <w:ind w:firstLine="640" w:firstLineChars="200"/>
        <w:rPr>
          <w:rFonts w:hAnsi="仿宋"/>
          <w:color w:val="auto"/>
          <w:sz w:val="32"/>
          <w:szCs w:val="32"/>
        </w:rPr>
      </w:pPr>
      <w:r>
        <w:rPr>
          <w:rFonts w:hint="eastAsia" w:hAnsi="仿宋"/>
          <w:color w:val="auto"/>
          <w:sz w:val="32"/>
          <w:szCs w:val="32"/>
        </w:rPr>
        <w:t>（4）服务对象满意度指标，通过项目的实施，力争使攀枝花市钒钛高新区相关部门领导和社会对江林小学项目实施的满意度达到90%。</w:t>
      </w:r>
    </w:p>
    <w:p w14:paraId="25730AB1">
      <w:pPr>
        <w:pStyle w:val="32"/>
        <w:spacing w:line="560" w:lineRule="exact"/>
        <w:ind w:firstLine="640" w:firstLineChars="200"/>
        <w:rPr>
          <w:rFonts w:hAnsi="仿宋"/>
          <w:color w:val="auto"/>
          <w:sz w:val="32"/>
          <w:szCs w:val="32"/>
          <w:lang w:val="zh-CN"/>
        </w:rPr>
      </w:pPr>
      <w:r>
        <w:rPr>
          <w:rFonts w:hint="eastAsia" w:hAnsi="仿宋"/>
          <w:color w:val="auto"/>
          <w:sz w:val="32"/>
          <w:szCs w:val="32"/>
        </w:rPr>
        <w:t>2.</w:t>
      </w:r>
      <w:r>
        <w:rPr>
          <w:rFonts w:hint="eastAsia" w:hAnsi="仿宋"/>
          <w:color w:val="auto"/>
          <w:sz w:val="32"/>
          <w:szCs w:val="32"/>
          <w:lang w:val="zh-CN"/>
        </w:rPr>
        <w:t>预算管理。</w:t>
      </w:r>
    </w:p>
    <w:p w14:paraId="108D60A2">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1</w:t>
      </w:r>
      <w:r>
        <w:rPr>
          <w:rFonts w:hint="eastAsia" w:hAnsi="仿宋"/>
          <w:color w:val="auto"/>
          <w:sz w:val="32"/>
          <w:szCs w:val="32"/>
          <w:lang w:val="zh-CN"/>
        </w:rPr>
        <w:t>）学校应按规定的程序和时间编制年度预算计划。全部收入纳入预算，并根据收入情况统筹安排各项支出。预算外资金必须按规定全部纳入“收支两条线”管理。</w:t>
      </w:r>
    </w:p>
    <w:p w14:paraId="712FACB8">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2</w:t>
      </w:r>
      <w:r>
        <w:rPr>
          <w:rFonts w:hint="eastAsia" w:hAnsi="仿宋"/>
          <w:color w:val="auto"/>
          <w:sz w:val="32"/>
          <w:szCs w:val="32"/>
          <w:lang w:val="zh-CN"/>
        </w:rPr>
        <w:t>）学校须严格执行经批准的预算计划，坚持收支平衡的原则，不得超预算增加支出。因特殊情况需调整后逐级上报。</w:t>
      </w:r>
    </w:p>
    <w:p w14:paraId="3DAD8B30">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3</w:t>
      </w:r>
      <w:r>
        <w:rPr>
          <w:rFonts w:hint="eastAsia" w:hAnsi="仿宋"/>
          <w:color w:val="auto"/>
          <w:sz w:val="32"/>
          <w:szCs w:val="32"/>
          <w:lang w:val="zh-CN"/>
        </w:rPr>
        <w:t>）学校的银行存款账户的开设和变更均应报财政部门批准。</w:t>
      </w:r>
    </w:p>
    <w:p w14:paraId="6104C7E8">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4</w:t>
      </w:r>
      <w:r>
        <w:rPr>
          <w:rFonts w:hint="eastAsia" w:hAnsi="仿宋"/>
          <w:color w:val="auto"/>
          <w:sz w:val="32"/>
          <w:szCs w:val="32"/>
          <w:lang w:val="zh-CN"/>
        </w:rPr>
        <w:t>）学校在每个预算年度末，应编制本年度决算草案，并在规定期限内上报,并在校务公开栏内公开。学校按规定的程序和时间编制年度预算计划。全部收入纳入预算，并根据收入情况统筹安排各项支出。预算外资金必须按规定全部纳入“收支两条线”管理。学校严格执行经批准的预算计划，坚持收支平衡的原则，不得超预算增加支出。因特殊情况需调整后逐级上报。</w:t>
      </w:r>
    </w:p>
    <w:p w14:paraId="5ED2CAB9">
      <w:pPr>
        <w:pStyle w:val="32"/>
        <w:spacing w:line="560" w:lineRule="exact"/>
        <w:ind w:firstLine="640" w:firstLineChars="200"/>
        <w:rPr>
          <w:rFonts w:hAnsi="仿宋"/>
          <w:color w:val="auto"/>
          <w:sz w:val="32"/>
          <w:szCs w:val="32"/>
          <w:lang w:val="zh-CN"/>
        </w:rPr>
      </w:pPr>
      <w:r>
        <w:rPr>
          <w:rFonts w:hint="eastAsia" w:hAnsi="仿宋"/>
          <w:color w:val="auto"/>
          <w:sz w:val="32"/>
          <w:szCs w:val="32"/>
        </w:rPr>
        <w:t>3.</w:t>
      </w:r>
      <w:r>
        <w:rPr>
          <w:rFonts w:hint="eastAsia" w:hAnsi="仿宋"/>
          <w:color w:val="auto"/>
          <w:sz w:val="32"/>
          <w:szCs w:val="32"/>
          <w:lang w:val="zh-CN"/>
        </w:rPr>
        <w:t>财务管理。</w:t>
      </w:r>
    </w:p>
    <w:p w14:paraId="53AD0A34">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学校设有兼职的出纳和会计各一名，出纳人员不兼任稽核、制单、会计档案保管等工作。出纳人员保管支票，法人章由学校领导保管。</w:t>
      </w:r>
      <w:r>
        <w:rPr>
          <w:rFonts w:hint="eastAsia" w:hAnsi="仿宋"/>
          <w:color w:val="auto"/>
          <w:sz w:val="32"/>
          <w:szCs w:val="32"/>
        </w:rPr>
        <w:t>坚决</w:t>
      </w:r>
      <w:r>
        <w:rPr>
          <w:rFonts w:hint="eastAsia" w:hAnsi="仿宋"/>
          <w:color w:val="auto"/>
          <w:sz w:val="32"/>
          <w:szCs w:val="32"/>
          <w:lang w:val="zh-CN"/>
        </w:rPr>
        <w:t>抓好经费的收、管、用，确保有限的经费用于教育教学工作中，为教育教学工作服务。我校总务处能依照上级文件精神进行依法收费、规范收费，能认真做好经费的预、决算，财务账</w:t>
      </w:r>
      <w:bookmarkStart w:id="163" w:name="_GoBack"/>
      <w:bookmarkEnd w:id="163"/>
      <w:r>
        <w:rPr>
          <w:rFonts w:hint="eastAsia" w:hAnsi="仿宋"/>
          <w:color w:val="auto"/>
          <w:sz w:val="32"/>
          <w:szCs w:val="32"/>
          <w:lang w:val="zh-CN"/>
        </w:rPr>
        <w:t>目做到日清月结，严格执行《财务管理制度》，杜绝贪污、挪用现象。</w:t>
      </w:r>
    </w:p>
    <w:p w14:paraId="04D3F69E">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1</w:t>
      </w:r>
      <w:r>
        <w:rPr>
          <w:rFonts w:hint="eastAsia" w:hAnsi="仿宋"/>
          <w:color w:val="auto"/>
          <w:sz w:val="32"/>
          <w:szCs w:val="32"/>
          <w:lang w:val="zh-CN"/>
        </w:rPr>
        <w:t>）现金管理制度</w:t>
      </w:r>
    </w:p>
    <w:p w14:paraId="7A9CD912">
      <w:pPr>
        <w:pStyle w:val="32"/>
        <w:spacing w:line="560" w:lineRule="exact"/>
        <w:ind w:firstLine="640" w:firstLineChars="200"/>
        <w:rPr>
          <w:rFonts w:hAnsi="仿宋"/>
          <w:color w:val="auto"/>
          <w:sz w:val="32"/>
          <w:szCs w:val="32"/>
          <w:lang w:val="zh-CN"/>
        </w:rPr>
      </w:pPr>
      <w:r>
        <w:rPr>
          <w:rFonts w:hint="eastAsia" w:hAnsi="仿宋"/>
          <w:color w:val="auto"/>
          <w:sz w:val="32"/>
          <w:szCs w:val="32"/>
        </w:rPr>
        <w:t>A.</w:t>
      </w:r>
      <w:r>
        <w:rPr>
          <w:rFonts w:hint="eastAsia" w:hAnsi="仿宋"/>
          <w:color w:val="auto"/>
          <w:sz w:val="32"/>
          <w:szCs w:val="32"/>
          <w:lang w:val="zh-CN"/>
        </w:rPr>
        <w:t>学校所有一切现金收入，均须及时解入银行。</w:t>
      </w:r>
    </w:p>
    <w:p w14:paraId="2E5C7514">
      <w:pPr>
        <w:pStyle w:val="32"/>
        <w:spacing w:line="560" w:lineRule="exact"/>
        <w:ind w:firstLine="640" w:firstLineChars="200"/>
        <w:rPr>
          <w:rFonts w:hAnsi="仿宋"/>
          <w:color w:val="auto"/>
          <w:sz w:val="32"/>
          <w:szCs w:val="32"/>
          <w:lang w:val="zh-CN"/>
        </w:rPr>
      </w:pPr>
      <w:r>
        <w:rPr>
          <w:rFonts w:hint="eastAsia" w:hAnsi="仿宋"/>
          <w:color w:val="auto"/>
          <w:sz w:val="32"/>
          <w:szCs w:val="32"/>
        </w:rPr>
        <w:t>B</w:t>
      </w:r>
      <w:r>
        <w:rPr>
          <w:rFonts w:hint="eastAsia" w:hAnsi="仿宋"/>
          <w:color w:val="auto"/>
          <w:sz w:val="32"/>
          <w:szCs w:val="32"/>
          <w:lang w:val="zh-CN"/>
        </w:rPr>
        <w:t>.出纳备用金实行限额管理，一般根据实际按银行核定的三至五天的日常开支额度，库存现金超过额度应及时存入银行。</w:t>
      </w:r>
    </w:p>
    <w:p w14:paraId="62014AF3">
      <w:pPr>
        <w:pStyle w:val="32"/>
        <w:spacing w:line="560" w:lineRule="exact"/>
        <w:ind w:firstLine="640" w:firstLineChars="200"/>
        <w:rPr>
          <w:rFonts w:hAnsi="仿宋"/>
          <w:color w:val="auto"/>
          <w:sz w:val="32"/>
          <w:szCs w:val="32"/>
          <w:lang w:val="zh-CN"/>
        </w:rPr>
      </w:pPr>
      <w:r>
        <w:rPr>
          <w:rFonts w:hint="eastAsia" w:hAnsi="仿宋"/>
          <w:color w:val="auto"/>
          <w:sz w:val="32"/>
          <w:szCs w:val="32"/>
        </w:rPr>
        <w:t>C</w:t>
      </w:r>
      <w:r>
        <w:rPr>
          <w:rFonts w:hint="eastAsia" w:hAnsi="仿宋"/>
          <w:color w:val="auto"/>
          <w:sz w:val="32"/>
          <w:szCs w:val="32"/>
          <w:lang w:val="zh-CN"/>
        </w:rPr>
        <w:t>.出纳人员每日按时记好现金日记账。</w:t>
      </w:r>
    </w:p>
    <w:p w14:paraId="711C4D3C">
      <w:pPr>
        <w:pStyle w:val="32"/>
        <w:spacing w:line="560" w:lineRule="exact"/>
        <w:ind w:firstLine="640" w:firstLineChars="200"/>
        <w:rPr>
          <w:rFonts w:hAnsi="仿宋"/>
          <w:color w:val="auto"/>
          <w:sz w:val="32"/>
          <w:szCs w:val="32"/>
          <w:lang w:val="zh-CN"/>
        </w:rPr>
      </w:pPr>
      <w:r>
        <w:rPr>
          <w:rFonts w:hint="eastAsia" w:hAnsi="仿宋"/>
          <w:color w:val="auto"/>
          <w:sz w:val="32"/>
          <w:szCs w:val="32"/>
        </w:rPr>
        <w:t>D</w:t>
      </w:r>
      <w:r>
        <w:rPr>
          <w:rFonts w:hint="eastAsia" w:hAnsi="仿宋"/>
          <w:color w:val="auto"/>
          <w:sz w:val="32"/>
          <w:szCs w:val="32"/>
          <w:lang w:val="zh-CN"/>
        </w:rPr>
        <w:t>.会计与出纳应定期对账，保证账账相符，账物相符。</w:t>
      </w:r>
    </w:p>
    <w:p w14:paraId="09C5E05A">
      <w:pPr>
        <w:pStyle w:val="32"/>
        <w:spacing w:line="560" w:lineRule="exact"/>
        <w:ind w:firstLine="640" w:firstLineChars="200"/>
        <w:rPr>
          <w:rFonts w:hAnsi="仿宋"/>
          <w:color w:val="auto"/>
          <w:sz w:val="32"/>
          <w:szCs w:val="32"/>
          <w:lang w:val="zh-CN"/>
        </w:rPr>
      </w:pPr>
      <w:r>
        <w:rPr>
          <w:rFonts w:hint="eastAsia" w:hAnsi="仿宋"/>
          <w:color w:val="auto"/>
          <w:sz w:val="32"/>
          <w:szCs w:val="32"/>
        </w:rPr>
        <w:t>E</w:t>
      </w:r>
      <w:r>
        <w:rPr>
          <w:rFonts w:hint="eastAsia" w:hAnsi="仿宋"/>
          <w:color w:val="auto"/>
          <w:sz w:val="32"/>
          <w:szCs w:val="32"/>
          <w:lang w:val="zh-CN"/>
        </w:rPr>
        <w:t>.任何人不得挪用现金，不得以借据“白条”抵库。</w:t>
      </w:r>
    </w:p>
    <w:p w14:paraId="41CB337E">
      <w:pPr>
        <w:pStyle w:val="32"/>
        <w:spacing w:line="560" w:lineRule="exact"/>
        <w:ind w:firstLine="640" w:firstLineChars="200"/>
        <w:rPr>
          <w:rFonts w:hAnsi="仿宋"/>
          <w:color w:val="auto"/>
          <w:sz w:val="32"/>
          <w:szCs w:val="32"/>
          <w:lang w:val="zh-CN"/>
        </w:rPr>
      </w:pPr>
      <w:r>
        <w:rPr>
          <w:rFonts w:hint="eastAsia" w:hAnsi="仿宋"/>
          <w:color w:val="auto"/>
          <w:sz w:val="32"/>
          <w:szCs w:val="32"/>
        </w:rPr>
        <w:t>F</w:t>
      </w:r>
      <w:r>
        <w:rPr>
          <w:rFonts w:hint="eastAsia" w:hAnsi="仿宋"/>
          <w:color w:val="auto"/>
          <w:sz w:val="32"/>
          <w:szCs w:val="32"/>
          <w:lang w:val="zh-CN"/>
        </w:rPr>
        <w:t>.出纳人员对于现金必须做到日清月结，每日库存现金不得超过开户银行所规定的限额，学校每学期定期由总务主任、会计共同对出纳的库存现金进行抽查盘点。</w:t>
      </w:r>
    </w:p>
    <w:p w14:paraId="38DC7053">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2</w:t>
      </w:r>
      <w:r>
        <w:rPr>
          <w:rFonts w:hint="eastAsia" w:hAnsi="仿宋"/>
          <w:color w:val="auto"/>
          <w:sz w:val="32"/>
          <w:szCs w:val="32"/>
          <w:lang w:val="zh-CN"/>
        </w:rPr>
        <w:t>）银行存款管理</w:t>
      </w:r>
    </w:p>
    <w:p w14:paraId="669F230B">
      <w:pPr>
        <w:pStyle w:val="32"/>
        <w:spacing w:line="560" w:lineRule="exact"/>
        <w:ind w:firstLine="640" w:firstLineChars="200"/>
        <w:rPr>
          <w:rFonts w:hAnsi="仿宋"/>
          <w:color w:val="auto"/>
          <w:sz w:val="32"/>
          <w:szCs w:val="32"/>
          <w:lang w:val="zh-CN"/>
        </w:rPr>
      </w:pPr>
      <w:r>
        <w:rPr>
          <w:rFonts w:hint="eastAsia" w:hAnsi="仿宋"/>
          <w:color w:val="auto"/>
          <w:sz w:val="32"/>
          <w:szCs w:val="32"/>
        </w:rPr>
        <w:t>A</w:t>
      </w:r>
      <w:r>
        <w:rPr>
          <w:rFonts w:hint="eastAsia" w:hAnsi="仿宋"/>
          <w:color w:val="auto"/>
          <w:sz w:val="32"/>
          <w:szCs w:val="32"/>
          <w:lang w:val="zh-CN"/>
        </w:rPr>
        <w:t>.严格遵守银行存款的管理制度，按规定开设银行账户。</w:t>
      </w:r>
    </w:p>
    <w:p w14:paraId="2F9C2444">
      <w:pPr>
        <w:pStyle w:val="32"/>
        <w:spacing w:line="560" w:lineRule="exact"/>
        <w:ind w:firstLine="640" w:firstLineChars="200"/>
        <w:rPr>
          <w:rFonts w:hAnsi="仿宋"/>
          <w:color w:val="auto"/>
          <w:sz w:val="32"/>
          <w:szCs w:val="32"/>
          <w:lang w:val="zh-CN"/>
        </w:rPr>
      </w:pPr>
      <w:r>
        <w:rPr>
          <w:rFonts w:hint="eastAsia" w:hAnsi="仿宋"/>
          <w:color w:val="auto"/>
          <w:sz w:val="32"/>
          <w:szCs w:val="32"/>
        </w:rPr>
        <w:t>B</w:t>
      </w:r>
      <w:r>
        <w:rPr>
          <w:rFonts w:hint="eastAsia" w:hAnsi="仿宋"/>
          <w:color w:val="auto"/>
          <w:sz w:val="32"/>
          <w:szCs w:val="32"/>
          <w:lang w:val="zh-CN"/>
        </w:rPr>
        <w:t>.自觉接受银行的监督，不准出借银行账户。</w:t>
      </w:r>
    </w:p>
    <w:p w14:paraId="194C6F69">
      <w:pPr>
        <w:pStyle w:val="32"/>
        <w:spacing w:line="560" w:lineRule="exact"/>
        <w:ind w:firstLine="640" w:firstLineChars="200"/>
        <w:rPr>
          <w:rFonts w:hAnsi="仿宋"/>
          <w:color w:val="auto"/>
          <w:sz w:val="32"/>
          <w:szCs w:val="32"/>
          <w:lang w:val="zh-CN"/>
        </w:rPr>
      </w:pPr>
      <w:r>
        <w:rPr>
          <w:rFonts w:hint="eastAsia" w:hAnsi="仿宋"/>
          <w:color w:val="auto"/>
          <w:sz w:val="32"/>
          <w:szCs w:val="32"/>
        </w:rPr>
        <w:t>C</w:t>
      </w:r>
      <w:r>
        <w:rPr>
          <w:rFonts w:hint="eastAsia" w:hAnsi="仿宋"/>
          <w:color w:val="auto"/>
          <w:sz w:val="32"/>
          <w:szCs w:val="32"/>
          <w:lang w:val="zh-CN"/>
        </w:rPr>
        <w:t xml:space="preserve">.支票、银行印鉴必须由出纳、会计、分管领导分开保管。 </w:t>
      </w:r>
    </w:p>
    <w:p w14:paraId="3645CE13">
      <w:pPr>
        <w:pStyle w:val="32"/>
        <w:spacing w:line="560" w:lineRule="exact"/>
        <w:ind w:firstLine="640" w:firstLineChars="200"/>
        <w:rPr>
          <w:rFonts w:hAnsi="仿宋"/>
          <w:color w:val="auto"/>
          <w:sz w:val="32"/>
          <w:szCs w:val="32"/>
          <w:lang w:val="zh-CN"/>
        </w:rPr>
      </w:pPr>
      <w:r>
        <w:rPr>
          <w:rFonts w:hint="eastAsia" w:hAnsi="仿宋"/>
          <w:color w:val="auto"/>
          <w:sz w:val="32"/>
          <w:szCs w:val="32"/>
        </w:rPr>
        <w:t>D</w:t>
      </w:r>
      <w:r>
        <w:rPr>
          <w:rFonts w:hint="eastAsia" w:hAnsi="仿宋"/>
          <w:color w:val="auto"/>
          <w:sz w:val="32"/>
          <w:szCs w:val="32"/>
          <w:lang w:val="zh-CN"/>
        </w:rPr>
        <w:t>.及时与银行对账，发现问题立即查询。</w:t>
      </w:r>
    </w:p>
    <w:p w14:paraId="19DD0C10">
      <w:pPr>
        <w:pStyle w:val="32"/>
        <w:spacing w:line="560" w:lineRule="exact"/>
        <w:ind w:firstLine="640" w:firstLineChars="200"/>
        <w:rPr>
          <w:rFonts w:hAnsi="仿宋"/>
          <w:color w:val="auto"/>
          <w:sz w:val="32"/>
          <w:szCs w:val="32"/>
          <w:lang w:val="zh-CN"/>
        </w:rPr>
      </w:pPr>
      <w:r>
        <w:rPr>
          <w:rFonts w:hint="eastAsia" w:hAnsi="仿宋"/>
          <w:color w:val="auto"/>
          <w:sz w:val="32"/>
          <w:szCs w:val="32"/>
        </w:rPr>
        <w:t>E</w:t>
      </w:r>
      <w:r>
        <w:rPr>
          <w:rFonts w:hint="eastAsia" w:hAnsi="仿宋"/>
          <w:color w:val="auto"/>
          <w:sz w:val="32"/>
          <w:szCs w:val="32"/>
          <w:lang w:val="zh-CN"/>
        </w:rPr>
        <w:t>.按照财务要求做好银行日记账。</w:t>
      </w:r>
    </w:p>
    <w:p w14:paraId="6BBB649E">
      <w:pPr>
        <w:pStyle w:val="32"/>
        <w:spacing w:line="560" w:lineRule="exact"/>
        <w:ind w:firstLine="640" w:firstLineChars="200"/>
        <w:rPr>
          <w:rFonts w:hAnsi="仿宋"/>
          <w:color w:val="auto"/>
          <w:sz w:val="32"/>
          <w:szCs w:val="32"/>
          <w:lang w:val="zh-CN"/>
        </w:rPr>
      </w:pPr>
      <w:r>
        <w:rPr>
          <w:rFonts w:hint="eastAsia" w:hAnsi="仿宋"/>
          <w:color w:val="auto"/>
          <w:sz w:val="32"/>
          <w:szCs w:val="32"/>
        </w:rPr>
        <w:t>F</w:t>
      </w:r>
      <w:r>
        <w:rPr>
          <w:rFonts w:hint="eastAsia" w:hAnsi="仿宋"/>
          <w:color w:val="auto"/>
          <w:sz w:val="32"/>
          <w:szCs w:val="32"/>
          <w:lang w:val="zh-CN"/>
        </w:rPr>
        <w:t>.对于银行存款，学校由总务主任和会计共同对出纳所登记的银行存款日记账与银行对账单逐笔核对。</w:t>
      </w:r>
    </w:p>
    <w:p w14:paraId="01978667">
      <w:pPr>
        <w:pStyle w:val="32"/>
        <w:spacing w:line="560" w:lineRule="exact"/>
        <w:ind w:firstLine="640" w:firstLineChars="200"/>
        <w:rPr>
          <w:rFonts w:hAnsi="仿宋"/>
          <w:color w:val="auto"/>
          <w:sz w:val="32"/>
          <w:szCs w:val="32"/>
          <w:lang w:val="zh-CN"/>
        </w:rPr>
      </w:pPr>
      <w:r>
        <w:rPr>
          <w:rFonts w:hint="eastAsia" w:hAnsi="仿宋"/>
          <w:color w:val="auto"/>
          <w:sz w:val="32"/>
          <w:szCs w:val="32"/>
        </w:rPr>
        <w:t>G</w:t>
      </w:r>
      <w:r>
        <w:rPr>
          <w:rFonts w:hint="eastAsia" w:hAnsi="仿宋"/>
          <w:color w:val="auto"/>
          <w:sz w:val="32"/>
          <w:szCs w:val="32"/>
          <w:lang w:val="zh-CN"/>
        </w:rPr>
        <w:t>.出纳每周将资金运转情况报校长。</w:t>
      </w:r>
    </w:p>
    <w:p w14:paraId="0E558C3F">
      <w:pPr>
        <w:pStyle w:val="32"/>
        <w:spacing w:line="560" w:lineRule="exact"/>
        <w:ind w:firstLine="640" w:firstLineChars="200"/>
        <w:rPr>
          <w:rFonts w:hAnsi="仿宋"/>
          <w:color w:val="auto"/>
          <w:sz w:val="32"/>
          <w:szCs w:val="32"/>
          <w:lang w:val="zh-CN"/>
        </w:rPr>
      </w:pPr>
      <w:r>
        <w:rPr>
          <w:rFonts w:hint="eastAsia" w:hAnsi="仿宋"/>
          <w:color w:val="auto"/>
          <w:sz w:val="32"/>
          <w:szCs w:val="32"/>
        </w:rPr>
        <w:t>H</w:t>
      </w:r>
      <w:r>
        <w:rPr>
          <w:rFonts w:hint="eastAsia" w:hAnsi="仿宋"/>
          <w:color w:val="auto"/>
          <w:sz w:val="32"/>
          <w:szCs w:val="32"/>
          <w:lang w:val="zh-CN"/>
        </w:rPr>
        <w:t>.不准用银行存款代其他单位和个人存入或支取现金，不准将单位收入的现金以个人名义存储，不准留账外公款，不得设置“小金库”。</w:t>
      </w:r>
    </w:p>
    <w:p w14:paraId="67042617">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资产管理。</w:t>
      </w:r>
    </w:p>
    <w:p w14:paraId="36103276">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1</w:t>
      </w:r>
      <w:r>
        <w:rPr>
          <w:rFonts w:hint="eastAsia" w:hAnsi="仿宋"/>
          <w:color w:val="auto"/>
          <w:sz w:val="32"/>
          <w:szCs w:val="32"/>
          <w:lang w:val="zh-CN"/>
        </w:rPr>
        <w:t>）财产物资按上级有关部门的规定，设立固定资产、低值耐久及低值易耗品账目，每月由总务主任检查一次。建立专项管理制度。</w:t>
      </w:r>
    </w:p>
    <w:p w14:paraId="241E8AC1">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2</w:t>
      </w:r>
      <w:r>
        <w:rPr>
          <w:rFonts w:hint="eastAsia" w:hAnsi="仿宋"/>
          <w:color w:val="auto"/>
          <w:sz w:val="32"/>
          <w:szCs w:val="32"/>
          <w:lang w:val="zh-CN"/>
        </w:rPr>
        <w:t>）所有财产物资均按请购、验收、领用、保管、登记、使用、维修、处置等制度执行，执行情况每学期由财产保管员向总务主任汇报一次。做到账账相符，账物相符。</w:t>
      </w:r>
    </w:p>
    <w:p w14:paraId="512972D8">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3</w:t>
      </w:r>
      <w:r>
        <w:rPr>
          <w:rFonts w:hint="eastAsia" w:hAnsi="仿宋"/>
          <w:color w:val="auto"/>
          <w:sz w:val="32"/>
          <w:szCs w:val="32"/>
          <w:lang w:val="zh-CN"/>
        </w:rPr>
        <w:t>）学校每年定期对固定资产进行清点，按有关规定办好报损和报废手续。报损报废要逐级申报、审批。</w:t>
      </w:r>
    </w:p>
    <w:p w14:paraId="18E0AB0B">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4</w:t>
      </w:r>
      <w:r>
        <w:rPr>
          <w:rFonts w:hint="eastAsia" w:hAnsi="仿宋"/>
          <w:color w:val="auto"/>
          <w:sz w:val="32"/>
          <w:szCs w:val="32"/>
          <w:lang w:val="zh-CN"/>
        </w:rPr>
        <w:t>）学校不定期对财产物资的管理情况进行抽查，并做好记录。</w:t>
      </w:r>
    </w:p>
    <w:p w14:paraId="494F17F5">
      <w:pPr>
        <w:pStyle w:val="32"/>
        <w:spacing w:line="560" w:lineRule="exact"/>
        <w:ind w:firstLine="640" w:firstLineChars="200"/>
        <w:rPr>
          <w:rFonts w:hAnsi="仿宋"/>
          <w:color w:val="auto"/>
          <w:sz w:val="32"/>
          <w:szCs w:val="32"/>
          <w:lang w:val="zh-CN"/>
        </w:rPr>
      </w:pPr>
      <w:r>
        <w:rPr>
          <w:rFonts w:hint="eastAsia" w:hAnsi="仿宋"/>
          <w:color w:val="auto"/>
          <w:sz w:val="32"/>
          <w:szCs w:val="32"/>
        </w:rPr>
        <w:t>5.</w:t>
      </w:r>
      <w:r>
        <w:rPr>
          <w:rFonts w:hint="eastAsia" w:hAnsi="仿宋"/>
          <w:color w:val="auto"/>
          <w:sz w:val="32"/>
          <w:szCs w:val="32"/>
          <w:lang w:val="zh-CN"/>
        </w:rPr>
        <w:t>采购管理。</w:t>
      </w:r>
    </w:p>
    <w:p w14:paraId="3A92E6D4">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1</w:t>
      </w:r>
      <w:r>
        <w:rPr>
          <w:rFonts w:hint="eastAsia" w:hAnsi="仿宋"/>
          <w:color w:val="auto"/>
          <w:sz w:val="32"/>
          <w:szCs w:val="32"/>
          <w:lang w:val="zh-CN"/>
        </w:rPr>
        <w:t>）学校在每年初根据实际需要，经会议研究制定出当年的采购项目计划。</w:t>
      </w:r>
    </w:p>
    <w:p w14:paraId="043F1420">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2</w:t>
      </w:r>
      <w:r>
        <w:rPr>
          <w:rFonts w:hint="eastAsia" w:hAnsi="仿宋"/>
          <w:color w:val="auto"/>
          <w:sz w:val="32"/>
          <w:szCs w:val="32"/>
          <w:lang w:val="zh-CN"/>
        </w:rPr>
        <w:t>）学校进行物品采购时，写出采购报告，采购报告必须经学校办公室审核。表册的项目名称、规格、型号、技术参数、性能等必须填写完整。</w:t>
      </w:r>
    </w:p>
    <w:p w14:paraId="34046FD8">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3</w:t>
      </w:r>
      <w:r>
        <w:rPr>
          <w:rFonts w:hint="eastAsia" w:hAnsi="仿宋"/>
          <w:color w:val="auto"/>
          <w:sz w:val="32"/>
          <w:szCs w:val="32"/>
          <w:lang w:val="zh-CN"/>
        </w:rPr>
        <w:t>）学校严格执行《中华人民共和国政府采购法》，不得以任何借口规避政府采购。</w:t>
      </w:r>
    </w:p>
    <w:p w14:paraId="5AF93DA7">
      <w:pPr>
        <w:adjustRightInd w:val="0"/>
        <w:snapToGrid w:val="0"/>
        <w:spacing w:line="578" w:lineRule="exact"/>
        <w:ind w:firstLine="643" w:firstLineChars="200"/>
        <w:contextualSpacing/>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（二）部门预算项目绩效分析。</w:t>
      </w:r>
    </w:p>
    <w:p w14:paraId="1E1C7348">
      <w:pPr>
        <w:pStyle w:val="32"/>
        <w:spacing w:line="560" w:lineRule="exact"/>
        <w:ind w:firstLine="640" w:firstLineChars="200"/>
        <w:rPr>
          <w:rFonts w:hAnsi="仿宋"/>
          <w:color w:val="auto"/>
          <w:sz w:val="32"/>
          <w:szCs w:val="32"/>
          <w:lang w:val="zh-CN"/>
        </w:rPr>
      </w:pPr>
      <w:r>
        <w:rPr>
          <w:rFonts w:hint="eastAsia" w:hAnsi="仿宋"/>
          <w:color w:val="auto"/>
          <w:sz w:val="32"/>
          <w:szCs w:val="32"/>
        </w:rPr>
        <w:t>常年项目绩效分析。</w:t>
      </w:r>
      <w:r>
        <w:rPr>
          <w:rFonts w:hint="eastAsia" w:hAnsi="仿宋"/>
          <w:color w:val="auto"/>
          <w:sz w:val="32"/>
          <w:szCs w:val="32"/>
          <w:lang w:val="zh-CN"/>
        </w:rPr>
        <w:t>该类项目总数2个，（ 农村义务教育学生营养餐改善计划（上级）涉及金额30.26万元， 城乡义务教育生均公用经费（小学上级），涉及金额23.97万元），）涉及预算总金额54.23万元，1—12月预算执行总体进度为100%，其中：预算结余率大于10%的项目共计0个。</w:t>
      </w:r>
    </w:p>
    <w:p w14:paraId="53C9AAD3">
      <w:pPr>
        <w:pStyle w:val="32"/>
        <w:spacing w:line="560" w:lineRule="exact"/>
        <w:ind w:firstLine="640" w:firstLineChars="200"/>
        <w:rPr>
          <w:rFonts w:hAnsi="仿宋"/>
          <w:color w:val="auto"/>
          <w:sz w:val="32"/>
          <w:szCs w:val="32"/>
          <w:lang w:val="zh-CN"/>
        </w:rPr>
      </w:pPr>
      <w:r>
        <w:rPr>
          <w:rFonts w:hint="eastAsia" w:hAnsi="仿宋"/>
          <w:color w:val="auto"/>
          <w:sz w:val="32"/>
          <w:szCs w:val="32"/>
        </w:rPr>
        <w:t>阶段（一次性）项目绩效分析。</w:t>
      </w:r>
      <w:r>
        <w:rPr>
          <w:rFonts w:hint="eastAsia" w:hAnsi="仿宋"/>
          <w:color w:val="auto"/>
          <w:sz w:val="32"/>
          <w:szCs w:val="32"/>
          <w:lang w:val="zh-CN"/>
        </w:rPr>
        <w:t>该类项目总数7个，涉及预算总金额29.18万元，（聘用零工和保安工资17.4万元，心理健康教育专项教育经费1万元，地震预警平台费用1万元，食堂智能化建设费用3万元，学校2024年维修维护费5万元， 2024年学生作业本费0.4万元，农村义务教育学生营养餐改善计划（区级）1.38万元，）1—12月预算执行总体进度为100%，其中：预算结余率大于10%的项目共计0个。</w:t>
      </w:r>
    </w:p>
    <w:p w14:paraId="2185233A">
      <w:pPr>
        <w:pStyle w:val="32"/>
        <w:spacing w:line="560" w:lineRule="exact"/>
        <w:ind w:firstLine="640" w:firstLineChars="200"/>
        <w:rPr>
          <w:rFonts w:hAnsi="仿宋"/>
          <w:color w:val="auto"/>
          <w:sz w:val="32"/>
          <w:szCs w:val="32"/>
          <w:lang w:val="zh-CN"/>
        </w:rPr>
      </w:pPr>
      <w:r>
        <w:rPr>
          <w:rFonts w:hint="eastAsia" w:hAnsi="仿宋"/>
          <w:color w:val="auto"/>
          <w:sz w:val="32"/>
          <w:szCs w:val="32"/>
        </w:rPr>
        <w:t>1.</w:t>
      </w:r>
      <w:r>
        <w:rPr>
          <w:rFonts w:hint="eastAsia" w:hAnsi="仿宋"/>
          <w:color w:val="auto"/>
          <w:sz w:val="32"/>
          <w:szCs w:val="32"/>
          <w:lang w:val="zh-CN"/>
        </w:rPr>
        <w:t>项目决策。在财务绩效分析体系构建中要充分考虑自身的财务特点和发展需求，不能单一或片面地评价或考核某一些工作内容，而是要全面地反映各方面的工作，使得指标本身能够起到特定的评价和指导作用 。</w:t>
      </w:r>
      <w:r>
        <w:rPr>
          <w:rFonts w:hint="eastAsia" w:hAnsi="仿宋"/>
          <w:color w:val="auto"/>
          <w:sz w:val="32"/>
          <w:szCs w:val="32"/>
        </w:rPr>
        <w:t>主要遵循两个原则</w:t>
      </w:r>
      <w:r>
        <w:rPr>
          <w:rFonts w:hint="eastAsia" w:hAnsi="仿宋"/>
          <w:color w:val="auto"/>
          <w:sz w:val="32"/>
          <w:szCs w:val="32"/>
          <w:lang w:val="zh-CN"/>
        </w:rPr>
        <w:t xml:space="preserve"> ：一是财务绩效分析体系本身要具有适用性，能够满足学校管理的需求，为其后续的管理发展提供有力的支撑，这是必要条件之一。 因为一旦脱离适用性，财务绩效分析指标对学校本身的作用或价值就会降低 。二是可操作性 。如果财务绩效指标分析体系在具体实践中，因为指标无法量化或计算 过于复杂没办法落实到位，那么对学校发展而言没有太大意义。因此，可操作性原则是基本原则，学校在财务绩效分析体系构建中必须严格遵守。</w:t>
      </w:r>
    </w:p>
    <w:p w14:paraId="4340FC8A">
      <w:pPr>
        <w:pStyle w:val="32"/>
        <w:spacing w:line="560" w:lineRule="exact"/>
        <w:ind w:firstLine="640" w:firstLineChars="200"/>
        <w:rPr>
          <w:rFonts w:hAnsi="仿宋"/>
          <w:color w:val="auto"/>
          <w:sz w:val="32"/>
          <w:szCs w:val="32"/>
          <w:lang w:val="zh-CN"/>
        </w:rPr>
      </w:pPr>
      <w:r>
        <w:rPr>
          <w:rFonts w:hint="eastAsia" w:hAnsi="仿宋"/>
          <w:color w:val="auto"/>
          <w:sz w:val="32"/>
          <w:szCs w:val="32"/>
        </w:rPr>
        <w:t>2.项目执行</w:t>
      </w:r>
      <w:r>
        <w:rPr>
          <w:rFonts w:hint="eastAsia" w:hAnsi="仿宋"/>
          <w:color w:val="auto"/>
          <w:sz w:val="32"/>
          <w:szCs w:val="32"/>
          <w:lang w:val="zh-CN"/>
        </w:rPr>
        <w:t>。</w:t>
      </w:r>
    </w:p>
    <w:p w14:paraId="60DD2372">
      <w:pPr>
        <w:pStyle w:val="32"/>
        <w:spacing w:line="560" w:lineRule="exact"/>
        <w:ind w:firstLine="640" w:firstLineChars="200"/>
        <w:rPr>
          <w:rFonts w:hAnsi="仿宋"/>
          <w:color w:val="auto"/>
          <w:sz w:val="32"/>
          <w:szCs w:val="32"/>
        </w:rPr>
      </w:pPr>
      <w:r>
        <w:rPr>
          <w:rFonts w:hint="eastAsia" w:hAnsi="仿宋"/>
          <w:color w:val="auto"/>
          <w:sz w:val="32"/>
          <w:szCs w:val="32"/>
        </w:rPr>
        <w:t>（1）人员类项目绩效分析</w:t>
      </w:r>
    </w:p>
    <w:p w14:paraId="5A3E0E2E">
      <w:pPr>
        <w:pStyle w:val="32"/>
        <w:spacing w:line="560" w:lineRule="exact"/>
        <w:ind w:firstLine="640" w:firstLineChars="200"/>
        <w:rPr>
          <w:rFonts w:hAnsi="仿宋"/>
          <w:color w:val="000000" w:themeColor="text1"/>
          <w:sz w:val="32"/>
          <w:szCs w:val="32"/>
        </w:rPr>
      </w:pPr>
      <w:r>
        <w:rPr>
          <w:rFonts w:hint="eastAsia" w:hAnsi="仿宋"/>
          <w:color w:val="auto"/>
          <w:sz w:val="32"/>
          <w:szCs w:val="32"/>
        </w:rPr>
        <w:t>江林小学</w:t>
      </w:r>
      <w:r>
        <w:rPr>
          <w:rFonts w:hint="eastAsia" w:hAnsi="仿宋"/>
          <w:color w:val="auto"/>
          <w:sz w:val="32"/>
          <w:szCs w:val="32"/>
          <w:lang w:val="zh-CN"/>
        </w:rPr>
        <w:t>202</w:t>
      </w:r>
      <w:r>
        <w:rPr>
          <w:rFonts w:hint="eastAsia" w:hAnsi="仿宋"/>
          <w:color w:val="auto"/>
          <w:sz w:val="32"/>
          <w:szCs w:val="32"/>
        </w:rPr>
        <w:t>4</w:t>
      </w:r>
      <w:r>
        <w:rPr>
          <w:rFonts w:hint="eastAsia" w:hAnsi="仿宋"/>
          <w:color w:val="auto"/>
          <w:sz w:val="32"/>
          <w:szCs w:val="32"/>
          <w:lang w:val="zh-CN"/>
        </w:rPr>
        <w:t>年一般公共预算财政拨款均按要求实行绩效目标管理。</w:t>
      </w:r>
      <w:r>
        <w:rPr>
          <w:rFonts w:hint="eastAsia" w:hAnsi="仿宋"/>
          <w:color w:val="000000" w:themeColor="text1"/>
          <w:sz w:val="32"/>
          <w:szCs w:val="32"/>
        </w:rPr>
        <w:t>基本支出523.25万元，其中：人员经费498.00万元主要包括：基</w:t>
      </w:r>
      <w:r>
        <w:rPr>
          <w:rFonts w:hint="eastAsia" w:hAnsi="仿宋"/>
          <w:color w:val="000000" w:themeColor="text1"/>
          <w:sz w:val="32"/>
          <w:szCs w:val="32"/>
          <w:lang w:val="zh-CN"/>
        </w:rPr>
        <w:t>本工资</w:t>
      </w:r>
      <w:r>
        <w:rPr>
          <w:rFonts w:hint="eastAsia" w:hAnsi="仿宋"/>
          <w:color w:val="000000" w:themeColor="text1"/>
          <w:sz w:val="32"/>
          <w:szCs w:val="32"/>
        </w:rPr>
        <w:t>126.14</w:t>
      </w:r>
      <w:r>
        <w:rPr>
          <w:rFonts w:hint="eastAsia" w:hAnsi="仿宋"/>
          <w:color w:val="000000" w:themeColor="text1"/>
          <w:sz w:val="32"/>
          <w:szCs w:val="32"/>
          <w:lang w:val="zh-CN"/>
        </w:rPr>
        <w:t>万元、津贴补贴</w:t>
      </w:r>
      <w:r>
        <w:rPr>
          <w:rFonts w:hint="eastAsia" w:hAnsi="仿宋"/>
          <w:color w:val="000000" w:themeColor="text1"/>
          <w:sz w:val="32"/>
          <w:szCs w:val="32"/>
        </w:rPr>
        <w:t>45.12</w:t>
      </w:r>
      <w:r>
        <w:rPr>
          <w:rFonts w:hint="eastAsia" w:hAnsi="仿宋"/>
          <w:color w:val="000000" w:themeColor="text1"/>
          <w:sz w:val="32"/>
          <w:szCs w:val="32"/>
          <w:lang w:val="zh-CN"/>
        </w:rPr>
        <w:t>万元、奖金</w:t>
      </w:r>
      <w:r>
        <w:rPr>
          <w:rFonts w:hint="eastAsia" w:hAnsi="仿宋"/>
          <w:color w:val="000000" w:themeColor="text1"/>
          <w:sz w:val="32"/>
          <w:szCs w:val="32"/>
        </w:rPr>
        <w:t>0万元、</w:t>
      </w:r>
      <w:r>
        <w:rPr>
          <w:rFonts w:hint="eastAsia" w:hAnsi="仿宋"/>
          <w:color w:val="000000" w:themeColor="text1"/>
          <w:sz w:val="32"/>
          <w:szCs w:val="32"/>
          <w:lang w:val="zh-CN"/>
        </w:rPr>
        <w:t>伙食补助费</w:t>
      </w:r>
      <w:r>
        <w:rPr>
          <w:rFonts w:hint="eastAsia" w:hAnsi="仿宋"/>
          <w:color w:val="000000" w:themeColor="text1"/>
          <w:sz w:val="32"/>
          <w:szCs w:val="32"/>
        </w:rPr>
        <w:t>0万元、</w:t>
      </w:r>
      <w:r>
        <w:rPr>
          <w:rFonts w:hint="eastAsia" w:hAnsi="仿宋"/>
          <w:color w:val="000000" w:themeColor="text1"/>
          <w:sz w:val="32"/>
          <w:szCs w:val="32"/>
          <w:lang w:val="zh-CN"/>
        </w:rPr>
        <w:t>绩效工资</w:t>
      </w:r>
      <w:r>
        <w:rPr>
          <w:rFonts w:hint="eastAsia" w:hAnsi="仿宋"/>
          <w:color w:val="000000" w:themeColor="text1"/>
          <w:sz w:val="32"/>
          <w:szCs w:val="32"/>
        </w:rPr>
        <w:t>173.35</w:t>
      </w:r>
      <w:r>
        <w:rPr>
          <w:rFonts w:hint="eastAsia" w:hAnsi="仿宋"/>
          <w:color w:val="000000" w:themeColor="text1"/>
          <w:sz w:val="32"/>
          <w:szCs w:val="32"/>
          <w:lang w:val="zh-CN"/>
        </w:rPr>
        <w:t>万元</w:t>
      </w:r>
      <w:r>
        <w:rPr>
          <w:rFonts w:hint="eastAsia" w:hAnsi="仿宋"/>
          <w:color w:val="C00000"/>
          <w:sz w:val="32"/>
          <w:szCs w:val="32"/>
          <w:lang w:val="zh-CN"/>
        </w:rPr>
        <w:t>、</w:t>
      </w:r>
      <w:r>
        <w:rPr>
          <w:rFonts w:hint="eastAsia" w:hAnsi="仿宋"/>
          <w:color w:val="000000" w:themeColor="text1"/>
          <w:sz w:val="32"/>
          <w:szCs w:val="32"/>
          <w:lang w:val="zh-CN"/>
        </w:rPr>
        <w:t>机关事业单位基本养老保险缴费</w:t>
      </w:r>
      <w:r>
        <w:rPr>
          <w:rFonts w:hint="eastAsia" w:hAnsi="仿宋"/>
          <w:color w:val="000000" w:themeColor="text1"/>
          <w:sz w:val="32"/>
          <w:szCs w:val="32"/>
        </w:rPr>
        <w:t>46.03</w:t>
      </w:r>
      <w:r>
        <w:rPr>
          <w:rFonts w:hint="eastAsia" w:hAnsi="仿宋"/>
          <w:color w:val="000000" w:themeColor="text1"/>
          <w:sz w:val="32"/>
          <w:szCs w:val="32"/>
          <w:lang w:val="zh-CN"/>
        </w:rPr>
        <w:t>万元、职业年金缴费</w:t>
      </w:r>
      <w:r>
        <w:rPr>
          <w:rFonts w:hint="eastAsia" w:hAnsi="仿宋"/>
          <w:color w:val="000000" w:themeColor="text1"/>
          <w:sz w:val="32"/>
          <w:szCs w:val="32"/>
        </w:rPr>
        <w:t>0万元、其他社会保障缴费2.21万元、其他工资福利支出0万元、离休费0万元、退休费0万元、抚恤金0万元、生活补助8.08（退休人员工资）万元、职工基本医疗保险22.13万元、医疗费补助0.21万元、奖励金0万元、住房公积金39.54万元</w:t>
      </w:r>
      <w:r>
        <w:rPr>
          <w:rFonts w:hint="eastAsia" w:hAnsi="仿宋"/>
          <w:color w:val="C00000"/>
          <w:sz w:val="32"/>
          <w:szCs w:val="32"/>
        </w:rPr>
        <w:t>、</w:t>
      </w:r>
      <w:r>
        <w:rPr>
          <w:rFonts w:hint="eastAsia" w:hAnsi="仿宋"/>
          <w:color w:val="000000" w:themeColor="text1"/>
          <w:sz w:val="32"/>
          <w:szCs w:val="32"/>
        </w:rPr>
        <w:t>其他对个人和家庭的补助支出0万元。</w:t>
      </w:r>
      <w:r>
        <w:rPr>
          <w:rFonts w:hint="eastAsia" w:hAnsi="仿宋"/>
          <w:color w:val="000000" w:themeColor="text1"/>
          <w:sz w:val="32"/>
          <w:szCs w:val="32"/>
          <w:lang w:val="zh-CN"/>
        </w:rPr>
        <w:t>主要用于</w:t>
      </w:r>
      <w:r>
        <w:rPr>
          <w:rFonts w:hint="eastAsia" w:hAnsi="仿宋"/>
          <w:color w:val="000000" w:themeColor="text1"/>
          <w:sz w:val="32"/>
          <w:szCs w:val="32"/>
        </w:rPr>
        <w:t>农村义务教育学校教职工的工资及基本福利，、基本养老、医疗保障等相关政策落到实处，确实维护教职工的合法权益。</w:t>
      </w:r>
    </w:p>
    <w:p w14:paraId="74B4B0FE">
      <w:pPr>
        <w:spacing w:line="576" w:lineRule="exact"/>
        <w:ind w:firstLine="640"/>
        <w:rPr>
          <w:rFonts w:ascii="仿宋" w:hAnsi="仿宋" w:eastAsia="仿宋" w:cs="仿宋"/>
          <w:color w:val="000000" w:themeColor="text1"/>
          <w:kern w:val="0"/>
          <w:sz w:val="32"/>
          <w:szCs w:val="32"/>
        </w:rPr>
      </w:pPr>
      <w:r>
        <w:rPr>
          <w:rFonts w:hint="eastAsia" w:ascii="仿宋" w:hAnsi="仿宋" w:eastAsia="仿宋" w:cs="仿宋"/>
          <w:color w:val="C00000"/>
          <w:kern w:val="0"/>
          <w:sz w:val="32"/>
          <w:szCs w:val="32"/>
        </w:rPr>
        <w:tab/>
      </w:r>
      <w:r>
        <w:rPr>
          <w:rFonts w:hint="eastAsia" w:ascii="仿宋" w:hAnsi="仿宋" w:eastAsia="仿宋" w:cs="仿宋"/>
          <w:color w:val="000000" w:themeColor="text1"/>
          <w:kern w:val="0"/>
          <w:sz w:val="32"/>
          <w:szCs w:val="32"/>
        </w:rPr>
        <w:t>公用经费88.9万元主要包括：办公费7.26万元、印刷费1.15万元、咨询费0.94万元、手续费0万元、水费1.50万元、电费2.00万元、取暖费0万元、邮电费2.72万元、物业管理费0.51万元、差旅费2.92万元、因公出国（境）费用0万元、维修（护）费32.46万元、租赁费0万元、会议费0万元、培训费0万元、公务接待费0万元、劳务费0万元、委托业务费0万元、工会经费6.94万元、福利费0.45万元、公务用车运行维护费0万元、其他交通费0万元、税金及附加费用0万元、其他商品和服务支出8.62元、办公设备购置0万元、专用设备购置0万元、信息网络及软件购置更新0万元、其他资本性支出等0万元。主要是保障学校的基本运转。</w:t>
      </w:r>
    </w:p>
    <w:p w14:paraId="3DE50A06">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2</w:t>
      </w:r>
      <w:r>
        <w:rPr>
          <w:rFonts w:hint="eastAsia" w:hAnsi="仿宋"/>
          <w:color w:val="auto"/>
          <w:sz w:val="32"/>
          <w:szCs w:val="32"/>
          <w:lang w:val="zh-CN"/>
        </w:rPr>
        <w:t>）部门</w:t>
      </w:r>
      <w:r>
        <w:rPr>
          <w:rFonts w:hint="eastAsia" w:hAnsi="仿宋"/>
          <w:color w:val="auto"/>
          <w:sz w:val="32"/>
          <w:szCs w:val="32"/>
        </w:rPr>
        <w:t>运转类</w:t>
      </w:r>
      <w:r>
        <w:rPr>
          <w:rFonts w:hint="eastAsia" w:hAnsi="仿宋"/>
          <w:color w:val="auto"/>
          <w:sz w:val="32"/>
          <w:szCs w:val="32"/>
          <w:lang w:val="zh-CN"/>
        </w:rPr>
        <w:t>项目</w:t>
      </w:r>
    </w:p>
    <w:p w14:paraId="0CB5D4BF">
      <w:pPr>
        <w:pStyle w:val="32"/>
        <w:spacing w:line="560" w:lineRule="exact"/>
        <w:ind w:firstLine="640" w:firstLineChars="200"/>
        <w:rPr>
          <w:rFonts w:hAnsi="仿宋"/>
          <w:color w:val="auto"/>
          <w:sz w:val="32"/>
          <w:szCs w:val="32"/>
        </w:rPr>
      </w:pPr>
      <w:r>
        <w:rPr>
          <w:rFonts w:hint="eastAsia" w:hAnsi="仿宋"/>
          <w:color w:val="auto"/>
          <w:sz w:val="32"/>
          <w:szCs w:val="32"/>
          <w:lang w:val="zh-CN"/>
        </w:rPr>
        <w:t>202</w:t>
      </w:r>
      <w:r>
        <w:rPr>
          <w:rFonts w:hint="eastAsia" w:hAnsi="仿宋"/>
          <w:color w:val="auto"/>
          <w:sz w:val="32"/>
          <w:szCs w:val="32"/>
        </w:rPr>
        <w:t>4</w:t>
      </w:r>
      <w:r>
        <w:rPr>
          <w:rFonts w:hint="eastAsia" w:hAnsi="仿宋"/>
          <w:color w:val="auto"/>
          <w:sz w:val="32"/>
          <w:szCs w:val="32"/>
          <w:lang w:val="zh-CN"/>
        </w:rPr>
        <w:t>年江林小学部门</w:t>
      </w:r>
      <w:r>
        <w:rPr>
          <w:rFonts w:hint="eastAsia" w:hAnsi="仿宋"/>
          <w:color w:val="auto"/>
          <w:sz w:val="32"/>
          <w:szCs w:val="32"/>
        </w:rPr>
        <w:t>运转类</w:t>
      </w:r>
      <w:r>
        <w:rPr>
          <w:rFonts w:hint="eastAsia" w:hAnsi="仿宋"/>
          <w:color w:val="auto"/>
          <w:sz w:val="32"/>
          <w:szCs w:val="32"/>
          <w:lang w:val="zh-CN"/>
        </w:rPr>
        <w:t>项目，均按要求实行绩效目标管理。</w:t>
      </w:r>
      <w:r>
        <w:rPr>
          <w:rFonts w:hint="eastAsia" w:hAnsi="仿宋"/>
          <w:color w:val="000000" w:themeColor="text1"/>
          <w:sz w:val="32"/>
          <w:szCs w:val="32"/>
        </w:rPr>
        <w:t>预算当年拨款17.4万元，实际支出17.4万元，用于发放2024年学校2名保安、1名校工和2名营养餐工作人员工资，切实保障农村义务教育学校师生生命、财产安全</w:t>
      </w:r>
      <w:r>
        <w:rPr>
          <w:rFonts w:hint="eastAsia" w:hAnsi="仿宋"/>
          <w:color w:val="auto"/>
          <w:sz w:val="32"/>
          <w:szCs w:val="32"/>
        </w:rPr>
        <w:t>，维护教育教学正常运行。</w:t>
      </w:r>
    </w:p>
    <w:p w14:paraId="36AE950A">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w:t>
      </w:r>
      <w:r>
        <w:rPr>
          <w:rFonts w:hint="eastAsia" w:hAnsi="仿宋"/>
          <w:color w:val="auto"/>
          <w:sz w:val="32"/>
          <w:szCs w:val="32"/>
        </w:rPr>
        <w:t>3</w:t>
      </w:r>
      <w:r>
        <w:rPr>
          <w:rFonts w:hint="eastAsia" w:hAnsi="仿宋"/>
          <w:color w:val="auto"/>
          <w:sz w:val="32"/>
          <w:szCs w:val="32"/>
          <w:lang w:val="zh-CN"/>
        </w:rPr>
        <w:t>）</w:t>
      </w:r>
      <w:r>
        <w:rPr>
          <w:rFonts w:hint="eastAsia" w:hAnsi="仿宋"/>
          <w:color w:val="auto"/>
          <w:sz w:val="32"/>
          <w:szCs w:val="32"/>
        </w:rPr>
        <w:t>特定目标类项</w:t>
      </w:r>
      <w:r>
        <w:rPr>
          <w:rFonts w:hint="eastAsia" w:hAnsi="仿宋"/>
          <w:color w:val="auto"/>
          <w:sz w:val="32"/>
          <w:szCs w:val="32"/>
          <w:lang w:val="zh-CN"/>
        </w:rPr>
        <w:t>目</w:t>
      </w:r>
    </w:p>
    <w:p w14:paraId="0DAE70E9">
      <w:pPr>
        <w:pStyle w:val="32"/>
        <w:spacing w:line="560" w:lineRule="exact"/>
        <w:ind w:firstLine="640" w:firstLineChars="200"/>
        <w:rPr>
          <w:rFonts w:hAnsi="仿宋"/>
          <w:color w:val="auto"/>
          <w:sz w:val="32"/>
          <w:szCs w:val="32"/>
        </w:rPr>
      </w:pPr>
      <w:r>
        <w:rPr>
          <w:rFonts w:hint="eastAsia" w:hAnsi="仿宋"/>
          <w:color w:val="auto"/>
          <w:sz w:val="32"/>
          <w:szCs w:val="32"/>
          <w:lang w:val="zh-CN"/>
        </w:rPr>
        <w:t>202</w:t>
      </w:r>
      <w:r>
        <w:rPr>
          <w:rFonts w:hint="eastAsia" w:hAnsi="仿宋"/>
          <w:color w:val="auto"/>
          <w:sz w:val="32"/>
          <w:szCs w:val="32"/>
        </w:rPr>
        <w:t>4</w:t>
      </w:r>
      <w:r>
        <w:rPr>
          <w:rFonts w:hint="eastAsia" w:hAnsi="仿宋"/>
          <w:color w:val="auto"/>
          <w:sz w:val="32"/>
          <w:szCs w:val="32"/>
          <w:lang w:val="zh-CN"/>
        </w:rPr>
        <w:t>年江林小学</w:t>
      </w:r>
      <w:r>
        <w:rPr>
          <w:rFonts w:hint="eastAsia" w:hAnsi="仿宋"/>
          <w:color w:val="auto"/>
          <w:sz w:val="32"/>
          <w:szCs w:val="32"/>
        </w:rPr>
        <w:t>特定目标类项</w:t>
      </w:r>
      <w:r>
        <w:rPr>
          <w:rFonts w:hint="eastAsia" w:hAnsi="仿宋"/>
          <w:color w:val="auto"/>
          <w:sz w:val="32"/>
          <w:szCs w:val="32"/>
          <w:lang w:val="zh-CN"/>
        </w:rPr>
        <w:t>目</w:t>
      </w:r>
      <w:r>
        <w:rPr>
          <w:rFonts w:hint="eastAsia" w:hAnsi="仿宋"/>
          <w:color w:val="auto"/>
          <w:sz w:val="32"/>
          <w:szCs w:val="32"/>
        </w:rPr>
        <w:t>资金，</w:t>
      </w:r>
      <w:r>
        <w:rPr>
          <w:rFonts w:hint="eastAsia" w:hAnsi="仿宋"/>
          <w:color w:val="auto"/>
          <w:sz w:val="32"/>
          <w:szCs w:val="32"/>
          <w:lang w:val="zh-CN"/>
        </w:rPr>
        <w:t>均按要求实行绩效目标管理，</w:t>
      </w:r>
      <w:r>
        <w:rPr>
          <w:rFonts w:hint="eastAsia" w:hAnsi="仿宋"/>
          <w:color w:val="auto"/>
          <w:sz w:val="32"/>
          <w:szCs w:val="32"/>
        </w:rPr>
        <w:t>涉及预算当年拨款89.59万元，实际支出89.59万元。其中：学生营养餐费支出30.26万元、印刷费1.15万元、办公费7.26万元、邮电费2.72万元、物业管理费0.51万元、维修维护费32.46万元、差旅费2.92万元，专用材料费3.69万元，其他商品服务支出8.62万元。保障农村义务教育学校学生营养状况，提高学生健康水平，增强青少年身体素质，加快农村教育发展，促进教育公平，减轻家庭负担，促进教育公平。保为全面普及九年义务教育、实现县域内义务教育均衡发展提供了基础性保障。</w:t>
      </w:r>
    </w:p>
    <w:p w14:paraId="3555F58E">
      <w:pPr>
        <w:pStyle w:val="32"/>
        <w:spacing w:line="560" w:lineRule="exact"/>
        <w:ind w:firstLine="640" w:firstLineChars="200"/>
        <w:rPr>
          <w:rFonts w:hAnsi="仿宋"/>
          <w:color w:val="auto"/>
          <w:sz w:val="32"/>
          <w:szCs w:val="32"/>
          <w:lang w:val="zh-CN"/>
        </w:rPr>
      </w:pPr>
      <w:r>
        <w:rPr>
          <w:rFonts w:hint="eastAsia" w:hAnsi="仿宋"/>
          <w:color w:val="auto"/>
          <w:sz w:val="32"/>
          <w:szCs w:val="32"/>
        </w:rPr>
        <w:t>3.</w:t>
      </w:r>
      <w:r>
        <w:rPr>
          <w:rFonts w:hint="eastAsia" w:hAnsi="仿宋"/>
          <w:color w:val="auto"/>
          <w:sz w:val="32"/>
          <w:szCs w:val="32"/>
          <w:lang w:val="zh-CN"/>
        </w:rPr>
        <w:t>目标实现。</w:t>
      </w:r>
    </w:p>
    <w:p w14:paraId="0D60A49D">
      <w:pPr>
        <w:pStyle w:val="32"/>
        <w:spacing w:line="560" w:lineRule="exact"/>
        <w:ind w:firstLine="640" w:firstLineChars="200"/>
        <w:rPr>
          <w:rFonts w:hAnsi="仿宋"/>
          <w:color w:val="auto"/>
          <w:sz w:val="32"/>
          <w:szCs w:val="32"/>
        </w:rPr>
      </w:pPr>
      <w:r>
        <w:rPr>
          <w:rFonts w:hint="eastAsia" w:hAnsi="仿宋"/>
          <w:color w:val="auto"/>
          <w:sz w:val="32"/>
          <w:szCs w:val="32"/>
        </w:rPr>
        <w:t>首先保障了江林小学20名在职人员和6名离退休人员的正常薪酬、正常办公、生活秩序；坚决执行党和国家的教育方针政策，尤其关注留守儿童的成长和教育；管好用好国家的教育资金，改善和优化农村的办学条件；把教育教学质量放在首位，提高教师从教的幸福感，办人民满意的教育；争创攀枝花市文明校园。</w:t>
      </w:r>
    </w:p>
    <w:p w14:paraId="52657D1F">
      <w:pPr>
        <w:pStyle w:val="32"/>
        <w:spacing w:line="560" w:lineRule="exact"/>
        <w:ind w:firstLine="640" w:firstLineChars="200"/>
        <w:rPr>
          <w:rFonts w:hAnsi="仿宋"/>
          <w:color w:val="auto"/>
          <w:sz w:val="32"/>
          <w:szCs w:val="32"/>
        </w:rPr>
      </w:pPr>
      <w:r>
        <w:rPr>
          <w:rFonts w:hint="eastAsia" w:hAnsi="仿宋"/>
          <w:color w:val="auto"/>
          <w:sz w:val="32"/>
          <w:szCs w:val="32"/>
        </w:rPr>
        <w:t>其次保障学校的安全和后勤工作的正常开展。通过项目的实施，激励教师工作积极性，促进教师的专业成长。持续开展小手拉大手活动，改善人居环境，体现政策导向，激发教师队伍活力。</w:t>
      </w:r>
    </w:p>
    <w:p w14:paraId="62A28DF2">
      <w:pPr>
        <w:pStyle w:val="32"/>
        <w:spacing w:line="560" w:lineRule="exact"/>
        <w:ind w:firstLine="640" w:firstLineChars="200"/>
        <w:rPr>
          <w:rFonts w:hAnsi="仿宋"/>
          <w:color w:val="auto"/>
          <w:sz w:val="32"/>
          <w:szCs w:val="32"/>
        </w:rPr>
      </w:pPr>
      <w:r>
        <w:rPr>
          <w:rFonts w:hint="eastAsia" w:hAnsi="仿宋"/>
          <w:color w:val="auto"/>
          <w:sz w:val="32"/>
          <w:szCs w:val="32"/>
        </w:rPr>
        <w:t>最后保障了2024年度江林小学359名学生营养餐费用和作业本费用的正常支付。保障学生的健康成长和学习需求，是实现城乡教育均衡发展的需要，是利国利民的大好事。通过该项目的实施，力争使钒钛园区相关部门领导和社会对江林小学项目实施的满意度达到满意及以上。</w:t>
      </w:r>
    </w:p>
    <w:p w14:paraId="51B012EC">
      <w:pPr>
        <w:snapToGrid w:val="0"/>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14:paraId="5E4BD665">
      <w:pPr>
        <w:pStyle w:val="32"/>
        <w:spacing w:line="560" w:lineRule="exact"/>
        <w:ind w:firstLine="640" w:firstLineChars="200"/>
        <w:rPr>
          <w:rFonts w:hAnsi="仿宋"/>
          <w:color w:val="auto"/>
          <w:sz w:val="32"/>
          <w:szCs w:val="32"/>
        </w:rPr>
      </w:pPr>
      <w:r>
        <w:rPr>
          <w:rFonts w:hint="eastAsia" w:hAnsi="仿宋"/>
          <w:color w:val="auto"/>
          <w:sz w:val="32"/>
          <w:szCs w:val="32"/>
        </w:rPr>
        <w:t>强化评价结果在部门预算编制和执行中的应用，实现绩效评价结果在部门预算编制和执行中的应用，实现绩效评价与部门预算的有机结合，促进江林小学财政资金的合理分配与有效使用。</w:t>
      </w:r>
    </w:p>
    <w:p w14:paraId="6C7AE7A7">
      <w:pPr>
        <w:pStyle w:val="32"/>
        <w:spacing w:line="560" w:lineRule="exact"/>
        <w:ind w:firstLine="640" w:firstLineChars="200"/>
        <w:rPr>
          <w:rFonts w:hAnsi="仿宋"/>
          <w:color w:val="auto"/>
          <w:sz w:val="32"/>
          <w:szCs w:val="32"/>
        </w:rPr>
      </w:pPr>
      <w:r>
        <w:rPr>
          <w:rFonts w:hint="eastAsia" w:hAnsi="仿宋"/>
          <w:color w:val="auto"/>
          <w:sz w:val="32"/>
          <w:szCs w:val="32"/>
        </w:rPr>
        <w:t>江林小学2024年度预算事前事后都做到了及时公开和及时公示。</w:t>
      </w:r>
    </w:p>
    <w:p w14:paraId="23B7536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00B58730">
      <w:pPr>
        <w:pStyle w:val="32"/>
        <w:spacing w:line="560" w:lineRule="exact"/>
        <w:ind w:firstLine="643" w:firstLineChars="200"/>
        <w:rPr>
          <w:rFonts w:eastAsia="楷体_GB2312"/>
          <w:b/>
          <w:bCs/>
          <w:sz w:val="32"/>
          <w:szCs w:val="32"/>
          <w:shd w:val="clear" w:color="auto" w:fill="FFFFFF"/>
          <w:lang w:val="zh-CN"/>
        </w:rPr>
      </w:pPr>
      <w:r>
        <w:rPr>
          <w:rFonts w:eastAsia="楷体_GB2312"/>
          <w:b/>
          <w:bCs/>
          <w:sz w:val="32"/>
          <w:szCs w:val="32"/>
          <w:shd w:val="clear" w:color="auto" w:fill="FFFFFF"/>
          <w:lang w:val="zh-CN"/>
        </w:rPr>
        <w:t>（一）评价结论。</w:t>
      </w:r>
    </w:p>
    <w:p w14:paraId="4894814B">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结合我校实际情况，部门整体支出绩效为“良”。具体分析如下：</w:t>
      </w:r>
    </w:p>
    <w:p w14:paraId="15DC7D4C">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1.社会效益指标，通过项目的实施，激励教师工作积极性，促进教师的专业成长。</w:t>
      </w:r>
    </w:p>
    <w:p w14:paraId="5BD5062C">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2.环境效益指标，持续开展小手拉大手活动，改善人居环境。</w:t>
      </w:r>
    </w:p>
    <w:p w14:paraId="0D361BC5">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3.可持续影响指标，体现政策导向，激发教师队伍活力。</w:t>
      </w:r>
    </w:p>
    <w:p w14:paraId="2A40E544">
      <w:pPr>
        <w:pStyle w:val="32"/>
        <w:spacing w:line="560" w:lineRule="exact"/>
        <w:ind w:firstLine="640" w:firstLineChars="200"/>
        <w:rPr>
          <w:rFonts w:hAnsi="仿宋"/>
          <w:color w:val="auto"/>
          <w:sz w:val="32"/>
          <w:szCs w:val="32"/>
          <w:lang w:val="zh-CN"/>
        </w:rPr>
      </w:pPr>
      <w:r>
        <w:rPr>
          <w:rFonts w:hint="eastAsia" w:hAnsi="仿宋"/>
          <w:color w:val="auto"/>
          <w:sz w:val="32"/>
          <w:szCs w:val="32"/>
          <w:lang w:val="zh-CN"/>
        </w:rPr>
        <w:t>4．服务对象满意度指标，通过项目的实施，相关部领导和社会对江林小学项目实施的满意度达到较好水平</w:t>
      </w:r>
    </w:p>
    <w:p w14:paraId="0262BB61">
      <w:pPr>
        <w:pStyle w:val="32"/>
        <w:spacing w:line="560" w:lineRule="exact"/>
        <w:ind w:firstLine="640" w:firstLineChars="200"/>
        <w:rPr>
          <w:rFonts w:hAnsi="仿宋"/>
          <w:color w:val="auto"/>
          <w:sz w:val="32"/>
          <w:szCs w:val="32"/>
        </w:rPr>
      </w:pPr>
      <w:r>
        <w:rPr>
          <w:rFonts w:hint="eastAsia" w:hAnsi="仿宋"/>
          <w:color w:val="auto"/>
          <w:sz w:val="32"/>
          <w:szCs w:val="32"/>
        </w:rPr>
        <w:t>江林小学对每一笔资金的使用均做到了事前、事中、事后的全程监督。事前监督主要是审批监督。对预算安排的严格通过人大批复的预算下达；对上级安排的教育专项资金，严格按照有关规定，报政府及有关部门批准后下达。事中监督主要是财政审核监督和财政检查监督。每一笔经费支出， 都要是财政审核监督和财政检查监督。每一笔教育经费支出， 都经过财政局层层审核把关，最后报账时还要经过会计核算把关。事后监督主要是审计监督。市区审计部门每年都对所有教育资金进行审计，有时还要接受上级审计部门的专项审计和有关部门的专项检查。</w:t>
      </w:r>
    </w:p>
    <w:p w14:paraId="245B8C7F">
      <w:pPr>
        <w:pStyle w:val="32"/>
        <w:spacing w:line="560" w:lineRule="exact"/>
        <w:ind w:firstLine="643" w:firstLineChars="200"/>
        <w:rPr>
          <w:rFonts w:eastAsia="楷体_GB2312"/>
          <w:b/>
          <w:bCs/>
          <w:sz w:val="32"/>
          <w:szCs w:val="32"/>
          <w:shd w:val="clear" w:color="auto" w:fill="FFFFFF"/>
          <w:lang w:val="zh-CN"/>
        </w:rPr>
      </w:pPr>
      <w:r>
        <w:rPr>
          <w:rFonts w:eastAsia="楷体_GB2312"/>
          <w:b/>
          <w:bCs/>
          <w:sz w:val="32"/>
          <w:szCs w:val="32"/>
          <w:shd w:val="clear" w:color="auto" w:fill="FFFFFF"/>
          <w:lang w:val="zh-CN"/>
        </w:rPr>
        <w:t>（二）存在问题。</w:t>
      </w:r>
    </w:p>
    <w:p w14:paraId="44522EB0">
      <w:pPr>
        <w:pStyle w:val="32"/>
        <w:spacing w:line="560" w:lineRule="exact"/>
        <w:ind w:firstLine="640" w:firstLineChars="200"/>
        <w:rPr>
          <w:rFonts w:hAnsi="仿宋"/>
          <w:color w:val="auto"/>
          <w:sz w:val="32"/>
          <w:szCs w:val="32"/>
        </w:rPr>
      </w:pPr>
      <w:r>
        <w:rPr>
          <w:rFonts w:hint="eastAsia" w:hAnsi="仿宋"/>
          <w:color w:val="auto"/>
          <w:sz w:val="32"/>
          <w:szCs w:val="32"/>
        </w:rPr>
        <w:t>1.对于目标设定需要分科室部门分解，汇总后制定整体目标。目标设定后如何科学设定考核评价标准，特别是对于不能量化的目标如何评价。</w:t>
      </w:r>
    </w:p>
    <w:p w14:paraId="2ECD8FED">
      <w:pPr>
        <w:pStyle w:val="32"/>
        <w:spacing w:line="560" w:lineRule="exact"/>
        <w:ind w:firstLine="640" w:firstLineChars="200"/>
        <w:rPr>
          <w:rFonts w:hAnsi="仿宋"/>
          <w:color w:val="auto"/>
          <w:sz w:val="32"/>
          <w:szCs w:val="32"/>
        </w:rPr>
      </w:pPr>
      <w:r>
        <w:rPr>
          <w:rFonts w:hint="eastAsia" w:hAnsi="仿宋"/>
          <w:color w:val="auto"/>
          <w:sz w:val="32"/>
          <w:szCs w:val="32"/>
        </w:rPr>
        <w:t>2.部门整体支出相比专项支出而言，社会效益较好，经济效益不明显。业务工作分项需更加清晰，不能很好的对比支出与成果，投入与产出效果，进而很难有针对性的发现问题，分析问题，提出解决方案。</w:t>
      </w:r>
    </w:p>
    <w:p w14:paraId="3B6E38AE">
      <w:pPr>
        <w:pStyle w:val="32"/>
        <w:spacing w:line="560" w:lineRule="exact"/>
        <w:ind w:firstLine="640" w:firstLineChars="200"/>
        <w:rPr>
          <w:rFonts w:hAnsi="仿宋"/>
          <w:color w:val="auto"/>
          <w:sz w:val="32"/>
          <w:szCs w:val="32"/>
        </w:rPr>
      </w:pPr>
      <w:r>
        <w:rPr>
          <w:rFonts w:hint="eastAsia" w:hAnsi="仿宋"/>
          <w:color w:val="auto"/>
          <w:sz w:val="32"/>
          <w:szCs w:val="32"/>
        </w:rPr>
        <w:t>3.财务管理方面，会计核算还不够细致，对于有些能够细分的工作，未能详细分类核算，绩效评价基础数据不够精准。</w:t>
      </w:r>
    </w:p>
    <w:p w14:paraId="795D9558">
      <w:pPr>
        <w:pStyle w:val="32"/>
        <w:spacing w:line="560" w:lineRule="exact"/>
        <w:ind w:firstLine="640" w:firstLineChars="200"/>
        <w:rPr>
          <w:rFonts w:hAnsi="仿宋"/>
          <w:color w:val="auto"/>
          <w:sz w:val="32"/>
          <w:szCs w:val="32"/>
          <w:lang w:val="zh-CN"/>
        </w:rPr>
      </w:pPr>
      <w:r>
        <w:rPr>
          <w:rFonts w:hint="eastAsia" w:hAnsi="仿宋"/>
          <w:color w:val="auto"/>
          <w:sz w:val="32"/>
          <w:szCs w:val="32"/>
        </w:rPr>
        <w:t>4.学校的教学、培训、设备购置、正常维修、等支出主要依靠生均公用经费，造成学校生均公用经费支出存在超出范围和超出比例支出问题。</w:t>
      </w:r>
    </w:p>
    <w:p w14:paraId="0364B65E">
      <w:pPr>
        <w:pStyle w:val="32"/>
        <w:spacing w:line="560" w:lineRule="exact"/>
        <w:ind w:firstLine="643" w:firstLineChars="200"/>
        <w:rPr>
          <w:rFonts w:eastAsia="楷体_GB2312"/>
          <w:b/>
          <w:bCs/>
          <w:sz w:val="32"/>
          <w:szCs w:val="32"/>
          <w:shd w:val="clear" w:color="auto" w:fill="FFFFFF"/>
          <w:lang w:val="zh-CN"/>
        </w:rPr>
      </w:pPr>
      <w:r>
        <w:rPr>
          <w:rFonts w:eastAsia="楷体_GB2312"/>
          <w:b/>
          <w:bCs/>
          <w:sz w:val="32"/>
          <w:szCs w:val="32"/>
          <w:shd w:val="clear" w:color="auto" w:fill="FFFFFF"/>
          <w:lang w:val="zh-CN"/>
        </w:rPr>
        <w:t>（三）改进建议。</w:t>
      </w:r>
    </w:p>
    <w:p w14:paraId="70B0D4E4">
      <w:pPr>
        <w:pStyle w:val="32"/>
        <w:spacing w:line="560" w:lineRule="exact"/>
        <w:ind w:firstLine="640" w:firstLineChars="200"/>
        <w:rPr>
          <w:rFonts w:hAnsi="仿宋"/>
          <w:color w:val="auto"/>
          <w:sz w:val="32"/>
          <w:szCs w:val="32"/>
        </w:rPr>
      </w:pPr>
      <w:r>
        <w:rPr>
          <w:rFonts w:hint="eastAsia" w:hAnsi="仿宋"/>
          <w:color w:val="auto"/>
          <w:sz w:val="32"/>
          <w:szCs w:val="32"/>
        </w:rPr>
        <w:t>1.学习如何科学合理制定绩效目标及考核体系，充分发挥绩效工作效用。</w:t>
      </w:r>
    </w:p>
    <w:p w14:paraId="7B14DECC">
      <w:pPr>
        <w:pStyle w:val="32"/>
        <w:spacing w:line="560" w:lineRule="exact"/>
        <w:ind w:firstLine="640" w:firstLineChars="200"/>
        <w:rPr>
          <w:rFonts w:hAnsi="仿宋"/>
          <w:color w:val="auto"/>
          <w:sz w:val="32"/>
          <w:szCs w:val="32"/>
        </w:rPr>
      </w:pPr>
      <w:r>
        <w:rPr>
          <w:rFonts w:hint="eastAsia" w:hAnsi="仿宋"/>
          <w:color w:val="auto"/>
          <w:sz w:val="32"/>
          <w:szCs w:val="32"/>
        </w:rPr>
        <w:t>2.对于能细分、归总的业务工作，效仿专项支出进行管理，以便更好的进行绩效评价，发现不足，提出改进。</w:t>
      </w:r>
    </w:p>
    <w:p w14:paraId="5CF81892">
      <w:pPr>
        <w:pStyle w:val="32"/>
        <w:spacing w:line="560" w:lineRule="exact"/>
        <w:ind w:firstLine="640" w:firstLineChars="200"/>
        <w:rPr>
          <w:rFonts w:ascii="方正楷体_GB2312" w:hAnsi="方正楷体_GB2312" w:eastAsia="方正楷体_GB2312" w:cs="方正楷体_GB2312"/>
          <w:sz w:val="32"/>
          <w:szCs w:val="32"/>
        </w:rPr>
      </w:pPr>
      <w:r>
        <w:rPr>
          <w:rFonts w:hint="eastAsia" w:hAnsi="仿宋"/>
          <w:color w:val="auto"/>
          <w:sz w:val="32"/>
          <w:szCs w:val="32"/>
        </w:rPr>
        <w:t>3.财务上，会计核算要更加详细，为本单位各项工作的开展、总结、评估提供有效数据资料支撑，为各项业务工作更好的开展提供帮助。</w:t>
      </w:r>
    </w:p>
    <w:p w14:paraId="31335E3E">
      <w:pPr>
        <w:pStyle w:val="3"/>
        <w:spacing w:before="93" w:line="560" w:lineRule="exact"/>
        <w:ind w:left="0" w:leftChars="0" w:firstLine="640"/>
        <w:rPr>
          <w:rFonts w:asciiTheme="majorEastAsia" w:hAnsiTheme="majorEastAsia" w:eastAsiaTheme="majorEastAsia" w:cstheme="majorEastAsia"/>
          <w:sz w:val="32"/>
          <w:lang w:val="zh-CN"/>
        </w:rPr>
      </w:pPr>
    </w:p>
    <w:p w14:paraId="6EAC5F9D">
      <w:pPr>
        <w:widowControl/>
        <w:adjustRightInd w:val="0"/>
        <w:snapToGrid w:val="0"/>
        <w:spacing w:line="578" w:lineRule="exact"/>
        <w:ind w:firstLine="640" w:firstLineChars="200"/>
        <w:contextualSpacing/>
        <w:jc w:val="left"/>
        <w:rPr>
          <w:rFonts w:eastAsia="仿宋_GB2312"/>
          <w:sz w:val="32"/>
          <w:lang w:val="zh-CN"/>
        </w:rPr>
      </w:pPr>
    </w:p>
    <w:p w14:paraId="02C42A4B">
      <w:pPr>
        <w:pStyle w:val="3"/>
        <w:spacing w:line="560" w:lineRule="exact"/>
        <w:ind w:left="0" w:leftChars="0" w:firstLine="640"/>
        <w:rPr>
          <w:rFonts w:ascii="Times New Roman" w:eastAsia="仿宋_GB2312"/>
          <w:sz w:val="32"/>
          <w:lang w:val="zh-CN"/>
        </w:rPr>
      </w:pPr>
      <w:r>
        <w:rPr>
          <w:rFonts w:hint="eastAsia" w:ascii="Times New Roman" w:eastAsia="仿宋_GB2312"/>
          <w:sz w:val="32"/>
          <w:lang w:val="zh-CN"/>
        </w:rPr>
        <w:t>附表：</w:t>
      </w:r>
      <w:r>
        <w:rPr>
          <w:rFonts w:hint="eastAsia" w:ascii="Times New Roman" w:eastAsia="仿宋_GB2312"/>
          <w:sz w:val="32"/>
        </w:rPr>
        <w:t>部门预算项目支出绩效自评表（2024年度）</w:t>
      </w:r>
    </w:p>
    <w:tbl>
      <w:tblPr>
        <w:tblStyle w:val="21"/>
        <w:tblW w:w="10850" w:type="dxa"/>
        <w:tblInd w:w="-1114" w:type="dxa"/>
        <w:tblLayout w:type="autofit"/>
        <w:tblCellMar>
          <w:top w:w="0" w:type="dxa"/>
          <w:left w:w="108" w:type="dxa"/>
          <w:bottom w:w="0" w:type="dxa"/>
          <w:right w:w="108" w:type="dxa"/>
        </w:tblCellMar>
      </w:tblPr>
      <w:tblGrid>
        <w:gridCol w:w="1042"/>
        <w:gridCol w:w="836"/>
        <w:gridCol w:w="950"/>
        <w:gridCol w:w="936"/>
        <w:gridCol w:w="537"/>
        <w:gridCol w:w="936"/>
        <w:gridCol w:w="537"/>
        <w:gridCol w:w="856"/>
        <w:gridCol w:w="576"/>
        <w:gridCol w:w="576"/>
        <w:gridCol w:w="3068"/>
      </w:tblGrid>
      <w:tr w14:paraId="0F55E90F">
        <w:tblPrEx>
          <w:tblCellMar>
            <w:top w:w="0" w:type="dxa"/>
            <w:left w:w="108" w:type="dxa"/>
            <w:bottom w:w="0" w:type="dxa"/>
            <w:right w:w="108" w:type="dxa"/>
          </w:tblCellMar>
        </w:tblPrEx>
        <w:trPr>
          <w:trHeight w:val="285" w:hRule="atLeast"/>
        </w:trPr>
        <w:tc>
          <w:tcPr>
            <w:tcW w:w="1053" w:type="dxa"/>
            <w:tcBorders>
              <w:top w:val="nil"/>
              <w:left w:val="nil"/>
              <w:bottom w:val="nil"/>
              <w:right w:val="nil"/>
            </w:tcBorders>
            <w:vAlign w:val="center"/>
          </w:tcPr>
          <w:p w14:paraId="4807A82C">
            <w:pPr>
              <w:rPr>
                <w:rFonts w:ascii="仿宋" w:hAnsi="仿宋" w:eastAsia="仿宋" w:cs="仿宋"/>
                <w:sz w:val="24"/>
              </w:rPr>
            </w:pPr>
          </w:p>
        </w:tc>
        <w:tc>
          <w:tcPr>
            <w:tcW w:w="841" w:type="dxa"/>
            <w:tcBorders>
              <w:top w:val="nil"/>
              <w:left w:val="nil"/>
              <w:bottom w:val="nil"/>
              <w:right w:val="nil"/>
            </w:tcBorders>
            <w:vAlign w:val="center"/>
          </w:tcPr>
          <w:p w14:paraId="0C4758C6">
            <w:pPr>
              <w:rPr>
                <w:rFonts w:ascii="仿宋" w:hAnsi="仿宋" w:eastAsia="仿宋" w:cs="仿宋"/>
                <w:sz w:val="24"/>
              </w:rPr>
            </w:pPr>
          </w:p>
        </w:tc>
        <w:tc>
          <w:tcPr>
            <w:tcW w:w="950" w:type="dxa"/>
            <w:tcBorders>
              <w:top w:val="nil"/>
              <w:left w:val="nil"/>
              <w:bottom w:val="nil"/>
              <w:right w:val="nil"/>
            </w:tcBorders>
            <w:vAlign w:val="center"/>
          </w:tcPr>
          <w:p w14:paraId="2A61B208">
            <w:pPr>
              <w:rPr>
                <w:rFonts w:ascii="仿宋" w:hAnsi="仿宋" w:eastAsia="仿宋" w:cs="仿宋"/>
                <w:sz w:val="24"/>
              </w:rPr>
            </w:pPr>
          </w:p>
        </w:tc>
        <w:tc>
          <w:tcPr>
            <w:tcW w:w="933" w:type="dxa"/>
            <w:tcBorders>
              <w:top w:val="nil"/>
              <w:left w:val="nil"/>
              <w:bottom w:val="nil"/>
              <w:right w:val="nil"/>
            </w:tcBorders>
            <w:vAlign w:val="center"/>
          </w:tcPr>
          <w:p w14:paraId="1AD5729E">
            <w:pPr>
              <w:rPr>
                <w:rFonts w:ascii="仿宋" w:hAnsi="仿宋" w:eastAsia="仿宋" w:cs="仿宋"/>
                <w:sz w:val="24"/>
              </w:rPr>
            </w:pPr>
          </w:p>
        </w:tc>
        <w:tc>
          <w:tcPr>
            <w:tcW w:w="540" w:type="dxa"/>
            <w:tcBorders>
              <w:top w:val="nil"/>
              <w:left w:val="nil"/>
              <w:bottom w:val="nil"/>
              <w:right w:val="nil"/>
            </w:tcBorders>
            <w:vAlign w:val="center"/>
          </w:tcPr>
          <w:p w14:paraId="1D3918D8">
            <w:pPr>
              <w:rPr>
                <w:rFonts w:ascii="仿宋" w:hAnsi="仿宋" w:eastAsia="仿宋" w:cs="仿宋"/>
                <w:sz w:val="24"/>
              </w:rPr>
            </w:pPr>
          </w:p>
        </w:tc>
        <w:tc>
          <w:tcPr>
            <w:tcW w:w="855" w:type="dxa"/>
            <w:tcBorders>
              <w:top w:val="nil"/>
              <w:left w:val="nil"/>
              <w:bottom w:val="nil"/>
              <w:right w:val="nil"/>
            </w:tcBorders>
            <w:vAlign w:val="center"/>
          </w:tcPr>
          <w:p w14:paraId="1C2BBCD4">
            <w:pPr>
              <w:rPr>
                <w:rFonts w:ascii="仿宋" w:hAnsi="仿宋" w:eastAsia="仿宋" w:cs="仿宋"/>
                <w:sz w:val="24"/>
              </w:rPr>
            </w:pPr>
          </w:p>
        </w:tc>
        <w:tc>
          <w:tcPr>
            <w:tcW w:w="540" w:type="dxa"/>
            <w:tcBorders>
              <w:top w:val="nil"/>
              <w:left w:val="nil"/>
              <w:bottom w:val="nil"/>
              <w:right w:val="nil"/>
            </w:tcBorders>
            <w:vAlign w:val="center"/>
          </w:tcPr>
          <w:p w14:paraId="14798437">
            <w:pPr>
              <w:rPr>
                <w:rFonts w:ascii="仿宋" w:hAnsi="仿宋" w:eastAsia="仿宋" w:cs="仿宋"/>
                <w:sz w:val="24"/>
              </w:rPr>
            </w:pPr>
          </w:p>
        </w:tc>
        <w:tc>
          <w:tcPr>
            <w:tcW w:w="857" w:type="dxa"/>
            <w:tcBorders>
              <w:top w:val="nil"/>
              <w:left w:val="nil"/>
              <w:bottom w:val="nil"/>
              <w:right w:val="nil"/>
            </w:tcBorders>
            <w:vAlign w:val="center"/>
          </w:tcPr>
          <w:p w14:paraId="68260C79">
            <w:pPr>
              <w:rPr>
                <w:rFonts w:ascii="仿宋" w:hAnsi="仿宋" w:eastAsia="仿宋" w:cs="仿宋"/>
                <w:sz w:val="24"/>
              </w:rPr>
            </w:pPr>
          </w:p>
        </w:tc>
        <w:tc>
          <w:tcPr>
            <w:tcW w:w="572" w:type="dxa"/>
            <w:tcBorders>
              <w:top w:val="nil"/>
              <w:left w:val="nil"/>
              <w:bottom w:val="nil"/>
              <w:right w:val="nil"/>
            </w:tcBorders>
            <w:vAlign w:val="center"/>
          </w:tcPr>
          <w:p w14:paraId="25D6838E">
            <w:pPr>
              <w:rPr>
                <w:rFonts w:ascii="仿宋" w:hAnsi="仿宋" w:eastAsia="仿宋" w:cs="仿宋"/>
                <w:sz w:val="24"/>
              </w:rPr>
            </w:pPr>
          </w:p>
        </w:tc>
        <w:tc>
          <w:tcPr>
            <w:tcW w:w="572" w:type="dxa"/>
            <w:tcBorders>
              <w:top w:val="nil"/>
              <w:left w:val="nil"/>
              <w:bottom w:val="nil"/>
              <w:right w:val="nil"/>
            </w:tcBorders>
            <w:vAlign w:val="center"/>
          </w:tcPr>
          <w:p w14:paraId="28DAC539">
            <w:pPr>
              <w:rPr>
                <w:rFonts w:ascii="仿宋" w:hAnsi="仿宋" w:eastAsia="仿宋" w:cs="仿宋"/>
                <w:sz w:val="24"/>
              </w:rPr>
            </w:pPr>
          </w:p>
        </w:tc>
        <w:tc>
          <w:tcPr>
            <w:tcW w:w="3137" w:type="dxa"/>
            <w:tcBorders>
              <w:top w:val="nil"/>
              <w:left w:val="nil"/>
              <w:bottom w:val="nil"/>
              <w:right w:val="nil"/>
            </w:tcBorders>
            <w:vAlign w:val="center"/>
          </w:tcPr>
          <w:p w14:paraId="36B35DE8">
            <w:pPr>
              <w:rPr>
                <w:rFonts w:ascii="仿宋" w:hAnsi="仿宋" w:eastAsia="仿宋" w:cs="仿宋"/>
                <w:sz w:val="24"/>
              </w:rPr>
            </w:pPr>
          </w:p>
        </w:tc>
      </w:tr>
      <w:tr w14:paraId="2B1DECE8">
        <w:tblPrEx>
          <w:tblCellMar>
            <w:top w:w="0" w:type="dxa"/>
            <w:left w:w="108" w:type="dxa"/>
            <w:bottom w:w="0" w:type="dxa"/>
            <w:right w:w="108" w:type="dxa"/>
          </w:tblCellMar>
        </w:tblPrEx>
        <w:trPr>
          <w:trHeight w:val="904" w:hRule="atLeast"/>
        </w:trPr>
        <w:tc>
          <w:tcPr>
            <w:tcW w:w="10850" w:type="dxa"/>
            <w:gridSpan w:val="11"/>
            <w:tcBorders>
              <w:top w:val="single" w:color="000000" w:sz="4" w:space="0"/>
              <w:left w:val="single" w:color="000000" w:sz="4" w:space="0"/>
              <w:bottom w:val="single" w:color="000000" w:sz="4" w:space="0"/>
              <w:right w:val="single" w:color="000000" w:sz="4" w:space="0"/>
            </w:tcBorders>
            <w:vAlign w:val="center"/>
          </w:tcPr>
          <w:p w14:paraId="641F6379">
            <w:pPr>
              <w:widowControl/>
              <w:jc w:val="center"/>
              <w:textAlignment w:val="center"/>
              <w:rPr>
                <w:rFonts w:ascii="仿宋" w:hAnsi="仿宋" w:eastAsia="仿宋" w:cs="仿宋"/>
                <w:b/>
                <w:bCs/>
                <w:sz w:val="24"/>
              </w:rPr>
            </w:pPr>
            <w:r>
              <w:rPr>
                <w:rFonts w:hint="eastAsia" w:ascii="仿宋" w:hAnsi="仿宋" w:eastAsia="仿宋" w:cs="仿宋"/>
                <w:b/>
                <w:bCs/>
                <w:kern w:val="0"/>
                <w:sz w:val="32"/>
                <w:szCs w:val="32"/>
              </w:rPr>
              <w:t>部门预算项目支出绩效自评表（2024年度）</w:t>
            </w:r>
          </w:p>
        </w:tc>
      </w:tr>
      <w:tr w14:paraId="698E3329">
        <w:tblPrEx>
          <w:tblCellMar>
            <w:top w:w="0" w:type="dxa"/>
            <w:left w:w="108" w:type="dxa"/>
            <w:bottom w:w="0" w:type="dxa"/>
            <w:right w:w="108" w:type="dxa"/>
          </w:tblCellMar>
        </w:tblPrEx>
        <w:trPr>
          <w:trHeight w:val="285" w:hRule="atLeast"/>
        </w:trPr>
        <w:tc>
          <w:tcPr>
            <w:tcW w:w="1894" w:type="dxa"/>
            <w:gridSpan w:val="2"/>
            <w:tcBorders>
              <w:top w:val="single" w:color="000000" w:sz="4" w:space="0"/>
              <w:left w:val="single" w:color="000000" w:sz="4" w:space="0"/>
              <w:bottom w:val="single" w:color="000000" w:sz="4" w:space="0"/>
              <w:right w:val="single" w:color="000000" w:sz="4" w:space="0"/>
            </w:tcBorders>
            <w:vAlign w:val="center"/>
          </w:tcPr>
          <w:p w14:paraId="4843A504">
            <w:pPr>
              <w:widowControl/>
              <w:jc w:val="left"/>
              <w:textAlignment w:val="center"/>
              <w:rPr>
                <w:rFonts w:ascii="仿宋" w:hAnsi="仿宋" w:eastAsia="仿宋" w:cs="仿宋"/>
                <w:b/>
                <w:bCs/>
                <w:sz w:val="24"/>
              </w:rPr>
            </w:pPr>
            <w:r>
              <w:rPr>
                <w:rFonts w:hint="eastAsia" w:ascii="仿宋" w:hAnsi="仿宋" w:eastAsia="仿宋" w:cs="仿宋"/>
                <w:b/>
                <w:bCs/>
                <w:kern w:val="0"/>
                <w:sz w:val="24"/>
              </w:rPr>
              <w:t>项目名称</w:t>
            </w:r>
          </w:p>
        </w:tc>
        <w:tc>
          <w:tcPr>
            <w:tcW w:w="8956" w:type="dxa"/>
            <w:gridSpan w:val="9"/>
            <w:tcBorders>
              <w:top w:val="single" w:color="000000" w:sz="4" w:space="0"/>
              <w:left w:val="single" w:color="000000" w:sz="4" w:space="0"/>
              <w:bottom w:val="single" w:color="000000" w:sz="4" w:space="0"/>
              <w:right w:val="single" w:color="000000" w:sz="4" w:space="0"/>
            </w:tcBorders>
            <w:vAlign w:val="center"/>
          </w:tcPr>
          <w:p w14:paraId="2B00E9EE">
            <w:pPr>
              <w:widowControl/>
              <w:jc w:val="left"/>
              <w:textAlignment w:val="center"/>
              <w:rPr>
                <w:rFonts w:ascii="仿宋" w:hAnsi="仿宋" w:eastAsia="仿宋" w:cs="仿宋"/>
                <w:b/>
                <w:bCs/>
                <w:sz w:val="24"/>
              </w:rPr>
            </w:pPr>
            <w:r>
              <w:rPr>
                <w:rFonts w:hint="eastAsia" w:ascii="仿宋" w:hAnsi="仿宋" w:eastAsia="仿宋" w:cs="仿宋"/>
                <w:b/>
                <w:bCs/>
                <w:kern w:val="0"/>
                <w:sz w:val="24"/>
              </w:rPr>
              <w:t>51048923T000008809425-2024年营养餐</w:t>
            </w:r>
          </w:p>
        </w:tc>
      </w:tr>
      <w:tr w14:paraId="5B2D0A14">
        <w:tblPrEx>
          <w:tblCellMar>
            <w:top w:w="0" w:type="dxa"/>
            <w:left w:w="108" w:type="dxa"/>
            <w:bottom w:w="0" w:type="dxa"/>
            <w:right w:w="108" w:type="dxa"/>
          </w:tblCellMar>
        </w:tblPrEx>
        <w:trPr>
          <w:trHeight w:val="1790" w:hRule="atLeast"/>
        </w:trPr>
        <w:tc>
          <w:tcPr>
            <w:tcW w:w="1894" w:type="dxa"/>
            <w:gridSpan w:val="2"/>
            <w:tcBorders>
              <w:top w:val="single" w:color="000000" w:sz="4" w:space="0"/>
              <w:left w:val="single" w:color="000000" w:sz="4" w:space="0"/>
              <w:bottom w:val="single" w:color="000000" w:sz="4" w:space="0"/>
              <w:right w:val="single" w:color="000000" w:sz="4" w:space="0"/>
            </w:tcBorders>
            <w:vAlign w:val="center"/>
          </w:tcPr>
          <w:p w14:paraId="390A6467">
            <w:pPr>
              <w:widowControl/>
              <w:jc w:val="left"/>
              <w:textAlignment w:val="center"/>
              <w:rPr>
                <w:rFonts w:ascii="仿宋" w:hAnsi="仿宋" w:eastAsia="仿宋" w:cs="仿宋"/>
                <w:sz w:val="24"/>
              </w:rPr>
            </w:pPr>
            <w:r>
              <w:rPr>
                <w:rFonts w:hint="eastAsia" w:ascii="仿宋" w:hAnsi="仿宋" w:eastAsia="仿宋" w:cs="仿宋"/>
                <w:kern w:val="0"/>
                <w:sz w:val="24"/>
              </w:rPr>
              <w:t>主管部门</w:t>
            </w:r>
          </w:p>
        </w:tc>
        <w:tc>
          <w:tcPr>
            <w:tcW w:w="3818" w:type="dxa"/>
            <w:gridSpan w:val="5"/>
            <w:tcBorders>
              <w:top w:val="single" w:color="000000" w:sz="4" w:space="0"/>
              <w:left w:val="single" w:color="000000" w:sz="4" w:space="0"/>
              <w:bottom w:val="single" w:color="000000" w:sz="4" w:space="0"/>
              <w:right w:val="single" w:color="000000" w:sz="4" w:space="0"/>
            </w:tcBorders>
            <w:vAlign w:val="center"/>
          </w:tcPr>
          <w:p w14:paraId="6D09F8C8">
            <w:pPr>
              <w:widowControl/>
              <w:jc w:val="left"/>
              <w:textAlignment w:val="center"/>
              <w:rPr>
                <w:rFonts w:ascii="仿宋" w:hAnsi="仿宋" w:eastAsia="仿宋" w:cs="仿宋"/>
                <w:sz w:val="24"/>
              </w:rPr>
            </w:pPr>
            <w:r>
              <w:rPr>
                <w:rFonts w:hint="eastAsia" w:ascii="仿宋" w:hAnsi="仿宋" w:eastAsia="仿宋" w:cs="仿宋"/>
                <w:kern w:val="0"/>
                <w:sz w:val="24"/>
              </w:rPr>
              <w:t>攀枝花市仁和区江林小学部门</w:t>
            </w:r>
          </w:p>
        </w:tc>
        <w:tc>
          <w:tcPr>
            <w:tcW w:w="857" w:type="dxa"/>
            <w:tcBorders>
              <w:top w:val="nil"/>
              <w:left w:val="nil"/>
              <w:bottom w:val="nil"/>
              <w:right w:val="nil"/>
            </w:tcBorders>
            <w:vAlign w:val="center"/>
          </w:tcPr>
          <w:p w14:paraId="7F983875">
            <w:pPr>
              <w:widowControl/>
              <w:jc w:val="left"/>
              <w:textAlignment w:val="center"/>
              <w:rPr>
                <w:rFonts w:ascii="仿宋" w:hAnsi="仿宋" w:eastAsia="仿宋" w:cs="仿宋"/>
                <w:sz w:val="24"/>
              </w:rPr>
            </w:pPr>
            <w:r>
              <w:rPr>
                <w:rFonts w:hint="eastAsia" w:ascii="仿宋" w:hAnsi="仿宋" w:eastAsia="仿宋" w:cs="仿宋"/>
                <w:kern w:val="0"/>
                <w:sz w:val="24"/>
              </w:rPr>
              <w:t>实施单位 （盖章）</w:t>
            </w:r>
          </w:p>
        </w:tc>
        <w:tc>
          <w:tcPr>
            <w:tcW w:w="4281" w:type="dxa"/>
            <w:gridSpan w:val="3"/>
            <w:tcBorders>
              <w:top w:val="single" w:color="000000" w:sz="4" w:space="0"/>
              <w:left w:val="single" w:color="000000" w:sz="4" w:space="0"/>
              <w:bottom w:val="single" w:color="000000" w:sz="4" w:space="0"/>
              <w:right w:val="single" w:color="000000" w:sz="4" w:space="0"/>
            </w:tcBorders>
            <w:vAlign w:val="center"/>
          </w:tcPr>
          <w:p w14:paraId="28E0CA89">
            <w:pPr>
              <w:widowControl/>
              <w:jc w:val="center"/>
              <w:textAlignment w:val="center"/>
              <w:rPr>
                <w:rFonts w:ascii="仿宋" w:hAnsi="仿宋" w:eastAsia="仿宋" w:cs="仿宋"/>
                <w:sz w:val="24"/>
              </w:rPr>
            </w:pPr>
            <w:r>
              <w:rPr>
                <w:rFonts w:hint="eastAsia" w:ascii="仿宋" w:hAnsi="仿宋" w:eastAsia="仿宋" w:cs="仿宋"/>
                <w:kern w:val="0"/>
                <w:sz w:val="24"/>
              </w:rPr>
              <w:t>攀枝花市仁和区江林小学</w:t>
            </w:r>
          </w:p>
        </w:tc>
      </w:tr>
      <w:tr w14:paraId="7ECBAD9F">
        <w:tblPrEx>
          <w:tblCellMar>
            <w:top w:w="0" w:type="dxa"/>
            <w:left w:w="108" w:type="dxa"/>
            <w:bottom w:w="0" w:type="dxa"/>
            <w:right w:w="108" w:type="dxa"/>
          </w:tblCellMar>
        </w:tblPrEx>
        <w:trPr>
          <w:trHeight w:val="285" w:hRule="atLeast"/>
        </w:trPr>
        <w:tc>
          <w:tcPr>
            <w:tcW w:w="1053" w:type="dxa"/>
            <w:vMerge w:val="restart"/>
            <w:tcBorders>
              <w:top w:val="single" w:color="000000" w:sz="4" w:space="0"/>
              <w:left w:val="single" w:color="000000" w:sz="4" w:space="0"/>
              <w:bottom w:val="single" w:color="000000" w:sz="4" w:space="0"/>
              <w:right w:val="single" w:color="000000" w:sz="4" w:space="0"/>
            </w:tcBorders>
            <w:vAlign w:val="center"/>
          </w:tcPr>
          <w:p w14:paraId="55E34357">
            <w:pPr>
              <w:widowControl/>
              <w:jc w:val="left"/>
              <w:textAlignment w:val="center"/>
              <w:rPr>
                <w:rFonts w:ascii="仿宋" w:hAnsi="仿宋" w:eastAsia="仿宋" w:cs="仿宋"/>
                <w:sz w:val="24"/>
              </w:rPr>
            </w:pPr>
            <w:r>
              <w:rPr>
                <w:rFonts w:hint="eastAsia" w:ascii="仿宋" w:hAnsi="仿宋" w:eastAsia="仿宋" w:cs="仿宋"/>
                <w:kern w:val="0"/>
                <w:sz w:val="24"/>
              </w:rPr>
              <w:t>项目基本情况</w:t>
            </w:r>
          </w:p>
        </w:tc>
        <w:tc>
          <w:tcPr>
            <w:tcW w:w="841" w:type="dxa"/>
            <w:vMerge w:val="restart"/>
            <w:tcBorders>
              <w:top w:val="single" w:color="000000" w:sz="4" w:space="0"/>
              <w:left w:val="single" w:color="000000" w:sz="4" w:space="0"/>
              <w:bottom w:val="single" w:color="000000" w:sz="4" w:space="0"/>
              <w:right w:val="single" w:color="000000" w:sz="4" w:space="0"/>
            </w:tcBorders>
            <w:vAlign w:val="center"/>
          </w:tcPr>
          <w:p w14:paraId="56C11E8C">
            <w:pPr>
              <w:widowControl/>
              <w:jc w:val="left"/>
              <w:textAlignment w:val="center"/>
              <w:rPr>
                <w:rFonts w:ascii="仿宋" w:hAnsi="仿宋" w:eastAsia="仿宋" w:cs="仿宋"/>
                <w:sz w:val="24"/>
              </w:rPr>
            </w:pPr>
            <w:r>
              <w:rPr>
                <w:rFonts w:hint="eastAsia" w:ascii="仿宋" w:hAnsi="仿宋" w:eastAsia="仿宋" w:cs="仿宋"/>
                <w:kern w:val="0"/>
                <w:sz w:val="24"/>
              </w:rPr>
              <w:t>1.项目年度目标完成情况</w:t>
            </w:r>
          </w:p>
        </w:tc>
        <w:tc>
          <w:tcPr>
            <w:tcW w:w="3818" w:type="dxa"/>
            <w:gridSpan w:val="5"/>
            <w:tcBorders>
              <w:top w:val="single" w:color="000000" w:sz="4" w:space="0"/>
              <w:left w:val="single" w:color="000000" w:sz="4" w:space="0"/>
              <w:bottom w:val="single" w:color="000000" w:sz="4" w:space="0"/>
              <w:right w:val="single" w:color="000000" w:sz="4" w:space="0"/>
            </w:tcBorders>
            <w:vAlign w:val="center"/>
          </w:tcPr>
          <w:p w14:paraId="029FA2D7">
            <w:pPr>
              <w:widowControl/>
              <w:jc w:val="center"/>
              <w:textAlignment w:val="center"/>
              <w:rPr>
                <w:rFonts w:ascii="仿宋" w:hAnsi="仿宋" w:eastAsia="仿宋" w:cs="仿宋"/>
                <w:sz w:val="24"/>
              </w:rPr>
            </w:pPr>
            <w:r>
              <w:rPr>
                <w:rFonts w:hint="eastAsia" w:ascii="仿宋" w:hAnsi="仿宋" w:eastAsia="仿宋" w:cs="仿宋"/>
                <w:kern w:val="0"/>
                <w:sz w:val="24"/>
              </w:rPr>
              <w:t>项目年度目标</w:t>
            </w:r>
          </w:p>
        </w:tc>
        <w:tc>
          <w:tcPr>
            <w:tcW w:w="5138" w:type="dxa"/>
            <w:gridSpan w:val="4"/>
            <w:tcBorders>
              <w:top w:val="single" w:color="000000" w:sz="4" w:space="0"/>
              <w:left w:val="single" w:color="000000" w:sz="4" w:space="0"/>
              <w:bottom w:val="single" w:color="000000" w:sz="4" w:space="0"/>
              <w:right w:val="single" w:color="000000" w:sz="4" w:space="0"/>
            </w:tcBorders>
            <w:vAlign w:val="center"/>
          </w:tcPr>
          <w:p w14:paraId="07B7C16F">
            <w:pPr>
              <w:widowControl/>
              <w:jc w:val="center"/>
              <w:textAlignment w:val="center"/>
              <w:rPr>
                <w:rFonts w:ascii="仿宋" w:hAnsi="仿宋" w:eastAsia="仿宋" w:cs="仿宋"/>
                <w:sz w:val="24"/>
              </w:rPr>
            </w:pPr>
            <w:r>
              <w:rPr>
                <w:rFonts w:hint="eastAsia" w:ascii="仿宋" w:hAnsi="仿宋" w:eastAsia="仿宋" w:cs="仿宋"/>
                <w:kern w:val="0"/>
                <w:sz w:val="24"/>
              </w:rPr>
              <w:t>年度目标完成情况</w:t>
            </w:r>
          </w:p>
        </w:tc>
      </w:tr>
      <w:tr w14:paraId="47C8D220">
        <w:tblPrEx>
          <w:tblCellMar>
            <w:top w:w="0" w:type="dxa"/>
            <w:left w:w="108" w:type="dxa"/>
            <w:bottom w:w="0" w:type="dxa"/>
            <w:right w:w="108" w:type="dxa"/>
          </w:tblCellMar>
        </w:tblPrEx>
        <w:trPr>
          <w:trHeight w:val="2000" w:hRule="atLeast"/>
        </w:trPr>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6E4FBD26">
            <w:pPr>
              <w:rPr>
                <w:rFonts w:ascii="仿宋" w:hAnsi="仿宋" w:eastAsia="仿宋" w:cs="仿宋"/>
                <w:sz w:val="24"/>
              </w:rPr>
            </w:pPr>
          </w:p>
        </w:tc>
        <w:tc>
          <w:tcPr>
            <w:tcW w:w="841" w:type="dxa"/>
            <w:vMerge w:val="continue"/>
            <w:tcBorders>
              <w:top w:val="single" w:color="000000" w:sz="4" w:space="0"/>
              <w:left w:val="single" w:color="000000" w:sz="4" w:space="0"/>
              <w:bottom w:val="single" w:color="000000" w:sz="4" w:space="0"/>
              <w:right w:val="single" w:color="000000" w:sz="4" w:space="0"/>
            </w:tcBorders>
            <w:vAlign w:val="center"/>
          </w:tcPr>
          <w:p w14:paraId="393DE042">
            <w:pPr>
              <w:rPr>
                <w:rFonts w:ascii="仿宋" w:hAnsi="仿宋" w:eastAsia="仿宋" w:cs="仿宋"/>
                <w:sz w:val="24"/>
              </w:rPr>
            </w:pPr>
          </w:p>
        </w:tc>
        <w:tc>
          <w:tcPr>
            <w:tcW w:w="3818" w:type="dxa"/>
            <w:gridSpan w:val="5"/>
            <w:tcBorders>
              <w:top w:val="single" w:color="000000" w:sz="4" w:space="0"/>
              <w:left w:val="single" w:color="000000" w:sz="4" w:space="0"/>
              <w:bottom w:val="single" w:color="000000" w:sz="4" w:space="0"/>
              <w:right w:val="single" w:color="000000" w:sz="4" w:space="0"/>
            </w:tcBorders>
            <w:vAlign w:val="center"/>
          </w:tcPr>
          <w:p w14:paraId="69363A6E">
            <w:pPr>
              <w:widowControl/>
              <w:jc w:val="left"/>
              <w:textAlignment w:val="center"/>
              <w:rPr>
                <w:rFonts w:ascii="仿宋" w:hAnsi="仿宋" w:eastAsia="仿宋" w:cs="仿宋"/>
                <w:kern w:val="0"/>
                <w:sz w:val="24"/>
              </w:rPr>
            </w:pPr>
            <w:r>
              <w:rPr>
                <w:rFonts w:hint="eastAsia" w:ascii="仿宋" w:hAnsi="仿宋" w:eastAsia="仿宋" w:cs="仿宋"/>
                <w:kern w:val="0"/>
                <w:sz w:val="24"/>
              </w:rPr>
              <w:t>1.进一步改善农村学生营养状况，提高学生健康水平，增强青少年身体素质，加快农村教育发展，促进教育公平。</w:t>
            </w:r>
            <w:r>
              <w:rPr>
                <w:rFonts w:hint="eastAsia" w:ascii="仿宋" w:hAnsi="仿宋" w:eastAsia="仿宋" w:cs="仿宋"/>
                <w:kern w:val="0"/>
                <w:sz w:val="24"/>
              </w:rPr>
              <w:br w:type="textWrapping"/>
            </w:r>
            <w:r>
              <w:rPr>
                <w:rFonts w:hint="eastAsia" w:ascii="仿宋" w:hAnsi="仿宋" w:eastAsia="仿宋" w:cs="仿宋"/>
                <w:kern w:val="0"/>
                <w:sz w:val="24"/>
              </w:rPr>
              <w:t>2.减轻家庭负担，促进教育公平。</w:t>
            </w:r>
            <w:r>
              <w:rPr>
                <w:rFonts w:hint="eastAsia" w:ascii="仿宋" w:hAnsi="仿宋" w:eastAsia="仿宋" w:cs="仿宋"/>
                <w:kern w:val="0"/>
                <w:sz w:val="24"/>
              </w:rPr>
              <w:br w:type="textWrapping"/>
            </w:r>
            <w:r>
              <w:rPr>
                <w:rFonts w:hint="eastAsia" w:ascii="仿宋" w:hAnsi="仿宋" w:eastAsia="仿宋" w:cs="仿宋"/>
                <w:kern w:val="0"/>
                <w:sz w:val="24"/>
              </w:rPr>
              <w:t>申请资金总额：6.8210万元 ，其中申请财政资金：6.8210万元  。</w:t>
            </w:r>
          </w:p>
        </w:tc>
        <w:tc>
          <w:tcPr>
            <w:tcW w:w="5138" w:type="dxa"/>
            <w:gridSpan w:val="4"/>
            <w:tcBorders>
              <w:top w:val="single" w:color="000000" w:sz="4" w:space="0"/>
              <w:left w:val="single" w:color="000000" w:sz="4" w:space="0"/>
              <w:bottom w:val="single" w:color="000000" w:sz="4" w:space="0"/>
              <w:right w:val="single" w:color="000000" w:sz="4" w:space="0"/>
            </w:tcBorders>
            <w:vAlign w:val="center"/>
          </w:tcPr>
          <w:p w14:paraId="1A76CB48">
            <w:pPr>
              <w:widowControl/>
              <w:jc w:val="left"/>
              <w:textAlignment w:val="center"/>
              <w:rPr>
                <w:rFonts w:ascii="仿宋" w:hAnsi="仿宋" w:eastAsia="仿宋" w:cs="仿宋"/>
                <w:kern w:val="0"/>
                <w:sz w:val="24"/>
              </w:rPr>
            </w:pPr>
            <w:r>
              <w:rPr>
                <w:rFonts w:hint="eastAsia" w:ascii="仿宋" w:hAnsi="仿宋" w:eastAsia="仿宋" w:cs="仿宋"/>
                <w:kern w:val="0"/>
                <w:sz w:val="24"/>
              </w:rPr>
              <w:t>根据实际情况调整预算后，申请资金总额：6.8210万元 ，其中申请财政资金：6.8210万元  ，严格按照国家政策执行。</w:t>
            </w:r>
          </w:p>
        </w:tc>
      </w:tr>
      <w:tr w14:paraId="579B7FA2">
        <w:tblPrEx>
          <w:tblCellMar>
            <w:top w:w="0" w:type="dxa"/>
            <w:left w:w="108" w:type="dxa"/>
            <w:bottom w:w="0" w:type="dxa"/>
            <w:right w:w="108" w:type="dxa"/>
          </w:tblCellMar>
        </w:tblPrEx>
        <w:trPr>
          <w:trHeight w:val="2701" w:hRule="atLeast"/>
        </w:trPr>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27A4811E">
            <w:pPr>
              <w:rPr>
                <w:rFonts w:ascii="仿宋" w:hAnsi="仿宋" w:eastAsia="仿宋" w:cs="仿宋"/>
                <w:sz w:val="24"/>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17AC5660">
            <w:pPr>
              <w:widowControl/>
              <w:jc w:val="left"/>
              <w:textAlignment w:val="center"/>
              <w:rPr>
                <w:rFonts w:ascii="仿宋" w:hAnsi="仿宋" w:eastAsia="仿宋" w:cs="仿宋"/>
                <w:sz w:val="24"/>
              </w:rPr>
            </w:pPr>
            <w:r>
              <w:rPr>
                <w:rFonts w:hint="eastAsia" w:ascii="仿宋" w:hAnsi="仿宋" w:eastAsia="仿宋" w:cs="仿宋"/>
                <w:kern w:val="0"/>
                <w:sz w:val="24"/>
              </w:rPr>
              <w:t>2.项目实施内容及过程概述</w:t>
            </w:r>
          </w:p>
        </w:tc>
        <w:tc>
          <w:tcPr>
            <w:tcW w:w="8956" w:type="dxa"/>
            <w:gridSpan w:val="9"/>
            <w:tcBorders>
              <w:top w:val="single" w:color="000000" w:sz="4" w:space="0"/>
              <w:left w:val="single" w:color="000000" w:sz="4" w:space="0"/>
              <w:bottom w:val="single" w:color="000000" w:sz="4" w:space="0"/>
              <w:right w:val="single" w:color="000000" w:sz="4" w:space="0"/>
            </w:tcBorders>
            <w:vAlign w:val="center"/>
          </w:tcPr>
          <w:p w14:paraId="543A01C0">
            <w:pPr>
              <w:widowControl/>
              <w:jc w:val="left"/>
              <w:textAlignment w:val="center"/>
              <w:rPr>
                <w:rFonts w:ascii="仿宋" w:hAnsi="仿宋" w:eastAsia="仿宋" w:cs="仿宋"/>
                <w:sz w:val="24"/>
              </w:rPr>
            </w:pPr>
            <w:r>
              <w:rPr>
                <w:rFonts w:hint="eastAsia" w:ascii="仿宋" w:hAnsi="仿宋" w:eastAsia="仿宋" w:cs="仿宋"/>
                <w:kern w:val="0"/>
                <w:sz w:val="24"/>
              </w:rPr>
              <w:t>区级配套：学生营养餐小学生359人乘190天乘1元=68210元</w:t>
            </w:r>
          </w:p>
        </w:tc>
      </w:tr>
      <w:tr w14:paraId="018BDE9B">
        <w:tblPrEx>
          <w:tblCellMar>
            <w:top w:w="0" w:type="dxa"/>
            <w:left w:w="108" w:type="dxa"/>
            <w:bottom w:w="0" w:type="dxa"/>
            <w:right w:w="108" w:type="dxa"/>
          </w:tblCellMar>
        </w:tblPrEx>
        <w:trPr>
          <w:trHeight w:val="1836" w:hRule="atLeast"/>
        </w:trPr>
        <w:tc>
          <w:tcPr>
            <w:tcW w:w="1053" w:type="dxa"/>
            <w:vMerge w:val="restart"/>
            <w:tcBorders>
              <w:top w:val="single" w:color="000000" w:sz="4" w:space="0"/>
              <w:left w:val="single" w:color="000000" w:sz="4" w:space="0"/>
              <w:bottom w:val="single" w:color="000000" w:sz="4" w:space="0"/>
              <w:right w:val="single" w:color="000000" w:sz="4" w:space="0"/>
            </w:tcBorders>
            <w:vAlign w:val="center"/>
          </w:tcPr>
          <w:p w14:paraId="71CFC908">
            <w:pPr>
              <w:widowControl/>
              <w:jc w:val="center"/>
              <w:textAlignment w:val="center"/>
              <w:rPr>
                <w:rFonts w:ascii="仿宋" w:hAnsi="仿宋" w:eastAsia="仿宋" w:cs="仿宋"/>
                <w:sz w:val="24"/>
              </w:rPr>
            </w:pPr>
            <w:r>
              <w:rPr>
                <w:rFonts w:hint="eastAsia" w:ascii="仿宋" w:hAnsi="仿宋" w:eastAsia="仿宋" w:cs="仿宋"/>
                <w:kern w:val="0"/>
                <w:sz w:val="24"/>
              </w:rPr>
              <w:t>预算执行情况（10分）</w:t>
            </w:r>
          </w:p>
        </w:tc>
        <w:tc>
          <w:tcPr>
            <w:tcW w:w="841" w:type="dxa"/>
            <w:tcBorders>
              <w:top w:val="single" w:color="000000" w:sz="4" w:space="0"/>
              <w:left w:val="single" w:color="000000" w:sz="4" w:space="0"/>
              <w:bottom w:val="single" w:color="000000" w:sz="4" w:space="0"/>
              <w:right w:val="single" w:color="000000" w:sz="4" w:space="0"/>
            </w:tcBorders>
            <w:vAlign w:val="center"/>
          </w:tcPr>
          <w:p w14:paraId="020FB511">
            <w:pPr>
              <w:widowControl/>
              <w:jc w:val="center"/>
              <w:textAlignment w:val="center"/>
              <w:rPr>
                <w:rFonts w:ascii="仿宋" w:hAnsi="仿宋" w:eastAsia="仿宋" w:cs="仿宋"/>
                <w:sz w:val="24"/>
              </w:rPr>
            </w:pPr>
            <w:r>
              <w:rPr>
                <w:rFonts w:hint="eastAsia" w:ascii="仿宋" w:hAnsi="仿宋" w:eastAsia="仿宋" w:cs="仿宋"/>
                <w:kern w:val="0"/>
                <w:sz w:val="24"/>
              </w:rPr>
              <w:t>年度预算数（万元）</w:t>
            </w:r>
          </w:p>
        </w:tc>
        <w:tc>
          <w:tcPr>
            <w:tcW w:w="950" w:type="dxa"/>
            <w:tcBorders>
              <w:top w:val="single" w:color="000000" w:sz="4" w:space="0"/>
              <w:left w:val="single" w:color="000000" w:sz="4" w:space="0"/>
              <w:bottom w:val="single" w:color="000000" w:sz="4" w:space="0"/>
              <w:right w:val="single" w:color="000000" w:sz="4" w:space="0"/>
            </w:tcBorders>
            <w:vAlign w:val="center"/>
          </w:tcPr>
          <w:p w14:paraId="2235ABBA">
            <w:pPr>
              <w:widowControl/>
              <w:jc w:val="center"/>
              <w:textAlignment w:val="center"/>
              <w:rPr>
                <w:rFonts w:ascii="仿宋" w:hAnsi="仿宋" w:eastAsia="仿宋" w:cs="仿宋"/>
                <w:sz w:val="24"/>
              </w:rPr>
            </w:pPr>
            <w:r>
              <w:rPr>
                <w:rFonts w:hint="eastAsia" w:ascii="仿宋" w:hAnsi="仿宋" w:eastAsia="仿宋" w:cs="仿宋"/>
                <w:kern w:val="0"/>
                <w:sz w:val="24"/>
              </w:rPr>
              <w:t>年初预算</w:t>
            </w:r>
          </w:p>
        </w:tc>
        <w:tc>
          <w:tcPr>
            <w:tcW w:w="933" w:type="dxa"/>
            <w:tcBorders>
              <w:top w:val="single" w:color="000000" w:sz="4" w:space="0"/>
              <w:left w:val="single" w:color="000000" w:sz="4" w:space="0"/>
              <w:bottom w:val="single" w:color="000000" w:sz="4" w:space="0"/>
              <w:right w:val="single" w:color="000000" w:sz="4" w:space="0"/>
            </w:tcBorders>
            <w:vAlign w:val="center"/>
          </w:tcPr>
          <w:p w14:paraId="0E6CC3AF">
            <w:pPr>
              <w:widowControl/>
              <w:jc w:val="center"/>
              <w:textAlignment w:val="center"/>
              <w:rPr>
                <w:rFonts w:ascii="仿宋" w:hAnsi="仿宋" w:eastAsia="仿宋" w:cs="仿宋"/>
                <w:sz w:val="24"/>
              </w:rPr>
            </w:pPr>
            <w:r>
              <w:rPr>
                <w:rFonts w:hint="eastAsia" w:ascii="仿宋" w:hAnsi="仿宋" w:eastAsia="仿宋" w:cs="仿宋"/>
                <w:kern w:val="0"/>
                <w:sz w:val="24"/>
              </w:rPr>
              <w:t>调整后预算数</w:t>
            </w: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14:paraId="0B1A2797">
            <w:pPr>
              <w:widowControl/>
              <w:jc w:val="center"/>
              <w:textAlignment w:val="center"/>
              <w:rPr>
                <w:rFonts w:ascii="仿宋" w:hAnsi="仿宋" w:eastAsia="仿宋" w:cs="仿宋"/>
                <w:sz w:val="24"/>
              </w:rPr>
            </w:pPr>
            <w:r>
              <w:rPr>
                <w:rFonts w:hint="eastAsia" w:ascii="仿宋" w:hAnsi="仿宋" w:eastAsia="仿宋" w:cs="仿宋"/>
                <w:kern w:val="0"/>
                <w:sz w:val="24"/>
              </w:rPr>
              <w:t>预算执行数</w:t>
            </w:r>
          </w:p>
        </w:tc>
        <w:tc>
          <w:tcPr>
            <w:tcW w:w="857" w:type="dxa"/>
            <w:tcBorders>
              <w:top w:val="single" w:color="000000" w:sz="4" w:space="0"/>
              <w:left w:val="single" w:color="000000" w:sz="4" w:space="0"/>
              <w:bottom w:val="single" w:color="000000" w:sz="4" w:space="0"/>
              <w:right w:val="single" w:color="000000" w:sz="4" w:space="0"/>
            </w:tcBorders>
            <w:vAlign w:val="center"/>
          </w:tcPr>
          <w:p w14:paraId="28C7870E">
            <w:pPr>
              <w:widowControl/>
              <w:jc w:val="center"/>
              <w:textAlignment w:val="center"/>
              <w:rPr>
                <w:rFonts w:ascii="仿宋" w:hAnsi="仿宋" w:eastAsia="仿宋" w:cs="仿宋"/>
                <w:sz w:val="24"/>
              </w:rPr>
            </w:pPr>
            <w:r>
              <w:rPr>
                <w:rFonts w:hint="eastAsia" w:ascii="仿宋" w:hAnsi="仿宋" w:eastAsia="仿宋" w:cs="仿宋"/>
                <w:kern w:val="0"/>
                <w:sz w:val="24"/>
              </w:rPr>
              <w:t>预算执行率</w:t>
            </w:r>
          </w:p>
        </w:tc>
        <w:tc>
          <w:tcPr>
            <w:tcW w:w="572" w:type="dxa"/>
            <w:tcBorders>
              <w:top w:val="single" w:color="000000" w:sz="4" w:space="0"/>
              <w:left w:val="single" w:color="000000" w:sz="4" w:space="0"/>
              <w:bottom w:val="single" w:color="000000" w:sz="4" w:space="0"/>
              <w:right w:val="single" w:color="000000" w:sz="4" w:space="0"/>
            </w:tcBorders>
            <w:vAlign w:val="center"/>
          </w:tcPr>
          <w:p w14:paraId="732347D0">
            <w:pPr>
              <w:widowControl/>
              <w:jc w:val="center"/>
              <w:textAlignment w:val="center"/>
              <w:rPr>
                <w:rFonts w:ascii="仿宋" w:hAnsi="仿宋" w:eastAsia="仿宋" w:cs="仿宋"/>
                <w:sz w:val="24"/>
              </w:rPr>
            </w:pPr>
            <w:r>
              <w:rPr>
                <w:rFonts w:hint="eastAsia" w:ascii="仿宋" w:hAnsi="仿宋" w:eastAsia="仿宋" w:cs="仿宋"/>
                <w:kern w:val="0"/>
                <w:sz w:val="24"/>
              </w:rPr>
              <w:t>权重</w:t>
            </w:r>
          </w:p>
        </w:tc>
        <w:tc>
          <w:tcPr>
            <w:tcW w:w="572" w:type="dxa"/>
            <w:tcBorders>
              <w:top w:val="single" w:color="000000" w:sz="4" w:space="0"/>
              <w:left w:val="single" w:color="000000" w:sz="4" w:space="0"/>
              <w:bottom w:val="single" w:color="000000" w:sz="4" w:space="0"/>
              <w:right w:val="single" w:color="000000" w:sz="4" w:space="0"/>
            </w:tcBorders>
            <w:vAlign w:val="center"/>
          </w:tcPr>
          <w:p w14:paraId="69C167D0">
            <w:pPr>
              <w:widowControl/>
              <w:jc w:val="center"/>
              <w:textAlignment w:val="center"/>
              <w:rPr>
                <w:rFonts w:ascii="仿宋" w:hAnsi="仿宋" w:eastAsia="仿宋" w:cs="仿宋"/>
                <w:sz w:val="24"/>
              </w:rPr>
            </w:pPr>
            <w:r>
              <w:rPr>
                <w:rFonts w:hint="eastAsia" w:ascii="仿宋" w:hAnsi="仿宋" w:eastAsia="仿宋" w:cs="仿宋"/>
                <w:kern w:val="0"/>
                <w:sz w:val="24"/>
              </w:rPr>
              <w:t>得分</w:t>
            </w:r>
          </w:p>
        </w:tc>
        <w:tc>
          <w:tcPr>
            <w:tcW w:w="3137" w:type="dxa"/>
            <w:tcBorders>
              <w:top w:val="single" w:color="000000" w:sz="4" w:space="0"/>
              <w:left w:val="single" w:color="000000" w:sz="4" w:space="0"/>
              <w:bottom w:val="single" w:color="000000" w:sz="4" w:space="0"/>
              <w:right w:val="single" w:color="000000" w:sz="4" w:space="0"/>
            </w:tcBorders>
            <w:vAlign w:val="center"/>
          </w:tcPr>
          <w:p w14:paraId="0AEA54F3">
            <w:pPr>
              <w:widowControl/>
              <w:jc w:val="center"/>
              <w:textAlignment w:val="center"/>
              <w:rPr>
                <w:rFonts w:ascii="仿宋" w:hAnsi="仿宋" w:eastAsia="仿宋" w:cs="仿宋"/>
                <w:sz w:val="24"/>
              </w:rPr>
            </w:pPr>
            <w:r>
              <w:rPr>
                <w:rFonts w:hint="eastAsia" w:ascii="仿宋" w:hAnsi="仿宋" w:eastAsia="仿宋" w:cs="仿宋"/>
                <w:kern w:val="0"/>
                <w:sz w:val="24"/>
              </w:rPr>
              <w:t>原因</w:t>
            </w:r>
          </w:p>
        </w:tc>
      </w:tr>
      <w:tr w14:paraId="3D63AC33">
        <w:tblPrEx>
          <w:tblCellMar>
            <w:top w:w="0" w:type="dxa"/>
            <w:left w:w="108" w:type="dxa"/>
            <w:bottom w:w="0" w:type="dxa"/>
            <w:right w:w="108" w:type="dxa"/>
          </w:tblCellMar>
        </w:tblPrEx>
        <w:trPr>
          <w:trHeight w:val="345" w:hRule="atLeast"/>
        </w:trPr>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708D2FB8">
            <w:pPr>
              <w:jc w:val="center"/>
              <w:rPr>
                <w:rFonts w:ascii="仿宋" w:hAnsi="仿宋" w:eastAsia="仿宋" w:cs="仿宋"/>
                <w:sz w:val="24"/>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013D2D8B">
            <w:pPr>
              <w:widowControl/>
              <w:jc w:val="center"/>
              <w:textAlignment w:val="center"/>
              <w:rPr>
                <w:rFonts w:ascii="仿宋" w:hAnsi="仿宋" w:eastAsia="仿宋" w:cs="仿宋"/>
                <w:sz w:val="24"/>
              </w:rPr>
            </w:pPr>
            <w:r>
              <w:rPr>
                <w:rFonts w:hint="eastAsia" w:ascii="仿宋" w:hAnsi="仿宋" w:eastAsia="仿宋" w:cs="仿宋"/>
                <w:kern w:val="0"/>
                <w:sz w:val="24"/>
              </w:rPr>
              <w:t>总额</w:t>
            </w:r>
          </w:p>
        </w:tc>
        <w:tc>
          <w:tcPr>
            <w:tcW w:w="950" w:type="dxa"/>
            <w:tcBorders>
              <w:top w:val="single" w:color="000000" w:sz="4" w:space="0"/>
              <w:left w:val="single" w:color="000000" w:sz="4" w:space="0"/>
              <w:bottom w:val="single" w:color="000000" w:sz="4" w:space="0"/>
              <w:right w:val="single" w:color="000000" w:sz="4" w:space="0"/>
            </w:tcBorders>
            <w:vAlign w:val="center"/>
          </w:tcPr>
          <w:p w14:paraId="4239036F">
            <w:pPr>
              <w:widowControl/>
              <w:jc w:val="center"/>
              <w:textAlignment w:val="center"/>
              <w:rPr>
                <w:rFonts w:ascii="仿宋" w:hAnsi="仿宋" w:eastAsia="仿宋" w:cs="仿宋"/>
                <w:color w:val="C00000"/>
                <w:sz w:val="24"/>
              </w:rPr>
            </w:pPr>
            <w:r>
              <w:rPr>
                <w:rFonts w:hint="eastAsia" w:ascii="仿宋" w:hAnsi="仿宋" w:eastAsia="仿宋" w:cs="仿宋"/>
                <w:kern w:val="0"/>
                <w:sz w:val="24"/>
              </w:rPr>
              <w:t>6.8210</w:t>
            </w:r>
          </w:p>
        </w:tc>
        <w:tc>
          <w:tcPr>
            <w:tcW w:w="933" w:type="dxa"/>
            <w:tcBorders>
              <w:top w:val="single" w:color="000000" w:sz="4" w:space="0"/>
              <w:left w:val="single" w:color="000000" w:sz="4" w:space="0"/>
              <w:bottom w:val="single" w:color="000000" w:sz="4" w:space="0"/>
              <w:right w:val="single" w:color="000000" w:sz="4" w:space="0"/>
            </w:tcBorders>
            <w:vAlign w:val="center"/>
          </w:tcPr>
          <w:p w14:paraId="659716CC">
            <w:pPr>
              <w:widowControl/>
              <w:jc w:val="center"/>
              <w:textAlignment w:val="center"/>
              <w:rPr>
                <w:rFonts w:ascii="仿宋" w:hAnsi="仿宋" w:eastAsia="仿宋" w:cs="仿宋"/>
                <w:color w:val="C00000"/>
                <w:sz w:val="24"/>
              </w:rPr>
            </w:pPr>
            <w:r>
              <w:rPr>
                <w:rFonts w:hint="eastAsia" w:ascii="仿宋" w:hAnsi="仿宋" w:eastAsia="仿宋" w:cs="仿宋"/>
                <w:kern w:val="0"/>
                <w:sz w:val="24"/>
              </w:rPr>
              <w:t>6.8210</w:t>
            </w: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14:paraId="6CE93591">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6.8210</w:t>
            </w:r>
          </w:p>
        </w:tc>
        <w:tc>
          <w:tcPr>
            <w:tcW w:w="857" w:type="dxa"/>
            <w:tcBorders>
              <w:top w:val="single" w:color="000000" w:sz="4" w:space="0"/>
              <w:left w:val="single" w:color="000000" w:sz="4" w:space="0"/>
              <w:bottom w:val="single" w:color="000000" w:sz="4" w:space="0"/>
              <w:right w:val="single" w:color="000000" w:sz="4" w:space="0"/>
            </w:tcBorders>
            <w:vAlign w:val="center"/>
          </w:tcPr>
          <w:p w14:paraId="0703E55F">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100%</w:t>
            </w:r>
          </w:p>
        </w:tc>
        <w:tc>
          <w:tcPr>
            <w:tcW w:w="572" w:type="dxa"/>
            <w:tcBorders>
              <w:top w:val="single" w:color="000000" w:sz="4" w:space="0"/>
              <w:left w:val="single" w:color="000000" w:sz="4" w:space="0"/>
              <w:bottom w:val="single" w:color="000000" w:sz="4" w:space="0"/>
              <w:right w:val="single" w:color="000000" w:sz="4" w:space="0"/>
            </w:tcBorders>
            <w:vAlign w:val="center"/>
          </w:tcPr>
          <w:p w14:paraId="7AA44F76">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10</w:t>
            </w:r>
          </w:p>
        </w:tc>
        <w:tc>
          <w:tcPr>
            <w:tcW w:w="572" w:type="dxa"/>
            <w:tcBorders>
              <w:top w:val="single" w:color="000000" w:sz="4" w:space="0"/>
              <w:left w:val="single" w:color="000000" w:sz="4" w:space="0"/>
              <w:bottom w:val="single" w:color="000000" w:sz="4" w:space="0"/>
              <w:right w:val="single" w:color="000000" w:sz="4" w:space="0"/>
            </w:tcBorders>
            <w:vAlign w:val="center"/>
          </w:tcPr>
          <w:p w14:paraId="0FAAB401">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10</w:t>
            </w:r>
          </w:p>
        </w:tc>
        <w:tc>
          <w:tcPr>
            <w:tcW w:w="3137" w:type="dxa"/>
            <w:vMerge w:val="restart"/>
            <w:tcBorders>
              <w:top w:val="single" w:color="000000" w:sz="4" w:space="0"/>
              <w:left w:val="single" w:color="000000" w:sz="4" w:space="0"/>
              <w:bottom w:val="single" w:color="000000" w:sz="4" w:space="0"/>
              <w:right w:val="single" w:color="000000" w:sz="4" w:space="0"/>
            </w:tcBorders>
            <w:vAlign w:val="center"/>
          </w:tcPr>
          <w:p w14:paraId="6846CF7C">
            <w:pPr>
              <w:widowControl/>
              <w:jc w:val="left"/>
              <w:textAlignment w:val="center"/>
              <w:rPr>
                <w:rFonts w:ascii="仿宋" w:hAnsi="仿宋" w:eastAsia="仿宋" w:cs="仿宋"/>
                <w:i/>
                <w:iCs/>
                <w:sz w:val="24"/>
              </w:rPr>
            </w:pPr>
            <w:r>
              <w:rPr>
                <w:rFonts w:hint="eastAsia" w:ascii="仿宋" w:hAnsi="仿宋" w:eastAsia="仿宋" w:cs="仿宋"/>
                <w:i/>
                <w:iCs/>
                <w:kern w:val="0"/>
                <w:szCs w:val="21"/>
              </w:rPr>
              <w:t>1.预算执行率=预算执行数/调整后预算数，预算执行率未达到90%的需说明原因（100字以内）;2.年中发生预算调整的（追加或调减）,应单独说明理由；3.其他资金包括：社会投入资金、银行贷款.</w:t>
            </w:r>
          </w:p>
        </w:tc>
      </w:tr>
      <w:tr w14:paraId="719F336C">
        <w:tblPrEx>
          <w:tblCellMar>
            <w:top w:w="0" w:type="dxa"/>
            <w:left w:w="108" w:type="dxa"/>
            <w:bottom w:w="0" w:type="dxa"/>
            <w:right w:w="108" w:type="dxa"/>
          </w:tblCellMar>
        </w:tblPrEx>
        <w:trPr>
          <w:trHeight w:val="1162" w:hRule="atLeast"/>
        </w:trPr>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06F5570A">
            <w:pPr>
              <w:jc w:val="center"/>
              <w:rPr>
                <w:rFonts w:ascii="仿宋" w:hAnsi="仿宋" w:eastAsia="仿宋" w:cs="仿宋"/>
                <w:sz w:val="24"/>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523B6C23">
            <w:pPr>
              <w:widowControl/>
              <w:jc w:val="center"/>
              <w:textAlignment w:val="center"/>
              <w:rPr>
                <w:rFonts w:ascii="仿宋" w:hAnsi="仿宋" w:eastAsia="仿宋" w:cs="仿宋"/>
                <w:sz w:val="24"/>
              </w:rPr>
            </w:pPr>
            <w:r>
              <w:rPr>
                <w:rFonts w:hint="eastAsia" w:ascii="仿宋" w:hAnsi="仿宋" w:eastAsia="仿宋" w:cs="仿宋"/>
                <w:kern w:val="0"/>
                <w:sz w:val="24"/>
              </w:rPr>
              <w:t>其中：财政资金</w:t>
            </w:r>
          </w:p>
        </w:tc>
        <w:tc>
          <w:tcPr>
            <w:tcW w:w="950" w:type="dxa"/>
            <w:tcBorders>
              <w:top w:val="single" w:color="000000" w:sz="4" w:space="0"/>
              <w:left w:val="single" w:color="000000" w:sz="4" w:space="0"/>
              <w:bottom w:val="single" w:color="000000" w:sz="4" w:space="0"/>
              <w:right w:val="single" w:color="000000" w:sz="4" w:space="0"/>
            </w:tcBorders>
            <w:vAlign w:val="center"/>
          </w:tcPr>
          <w:p w14:paraId="763E1487">
            <w:pPr>
              <w:widowControl/>
              <w:jc w:val="center"/>
              <w:textAlignment w:val="center"/>
              <w:rPr>
                <w:rFonts w:ascii="仿宋" w:hAnsi="仿宋" w:eastAsia="仿宋" w:cs="仿宋"/>
                <w:color w:val="C00000"/>
                <w:sz w:val="24"/>
              </w:rPr>
            </w:pPr>
            <w:r>
              <w:rPr>
                <w:rFonts w:hint="eastAsia" w:ascii="仿宋" w:hAnsi="仿宋" w:eastAsia="仿宋" w:cs="仿宋"/>
                <w:kern w:val="0"/>
                <w:sz w:val="24"/>
              </w:rPr>
              <w:t>6.8210</w:t>
            </w:r>
          </w:p>
        </w:tc>
        <w:tc>
          <w:tcPr>
            <w:tcW w:w="933" w:type="dxa"/>
            <w:tcBorders>
              <w:top w:val="single" w:color="000000" w:sz="4" w:space="0"/>
              <w:left w:val="single" w:color="000000" w:sz="4" w:space="0"/>
              <w:bottom w:val="single" w:color="000000" w:sz="4" w:space="0"/>
              <w:right w:val="single" w:color="000000" w:sz="4" w:space="0"/>
            </w:tcBorders>
            <w:vAlign w:val="center"/>
          </w:tcPr>
          <w:p w14:paraId="4369E073">
            <w:pPr>
              <w:widowControl/>
              <w:jc w:val="center"/>
              <w:textAlignment w:val="center"/>
              <w:rPr>
                <w:rFonts w:ascii="仿宋" w:hAnsi="仿宋" w:eastAsia="仿宋" w:cs="仿宋"/>
                <w:color w:val="C00000"/>
                <w:sz w:val="24"/>
              </w:rPr>
            </w:pPr>
            <w:r>
              <w:rPr>
                <w:rFonts w:hint="eastAsia" w:ascii="仿宋" w:hAnsi="仿宋" w:eastAsia="仿宋" w:cs="仿宋"/>
                <w:kern w:val="0"/>
                <w:sz w:val="24"/>
              </w:rPr>
              <w:t>6.8210</w:t>
            </w: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14:paraId="75D9A769">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6.8210</w:t>
            </w:r>
          </w:p>
        </w:tc>
        <w:tc>
          <w:tcPr>
            <w:tcW w:w="857" w:type="dxa"/>
            <w:tcBorders>
              <w:top w:val="single" w:color="000000" w:sz="4" w:space="0"/>
              <w:left w:val="single" w:color="000000" w:sz="4" w:space="0"/>
              <w:bottom w:val="single" w:color="000000" w:sz="4" w:space="0"/>
              <w:right w:val="single" w:color="000000" w:sz="4" w:space="0"/>
            </w:tcBorders>
            <w:vAlign w:val="center"/>
          </w:tcPr>
          <w:p w14:paraId="0654F1D9">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100%</w:t>
            </w:r>
          </w:p>
        </w:tc>
        <w:tc>
          <w:tcPr>
            <w:tcW w:w="572" w:type="dxa"/>
            <w:tcBorders>
              <w:top w:val="single" w:color="000000" w:sz="4" w:space="0"/>
              <w:left w:val="single" w:color="000000" w:sz="4" w:space="0"/>
              <w:bottom w:val="single" w:color="000000" w:sz="4" w:space="0"/>
              <w:right w:val="single" w:color="000000" w:sz="4" w:space="0"/>
            </w:tcBorders>
            <w:vAlign w:val="center"/>
          </w:tcPr>
          <w:p w14:paraId="1C449B75">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w:t>
            </w:r>
          </w:p>
        </w:tc>
        <w:tc>
          <w:tcPr>
            <w:tcW w:w="572" w:type="dxa"/>
            <w:tcBorders>
              <w:top w:val="single" w:color="000000" w:sz="4" w:space="0"/>
              <w:left w:val="single" w:color="000000" w:sz="4" w:space="0"/>
              <w:bottom w:val="single" w:color="000000" w:sz="4" w:space="0"/>
              <w:right w:val="single" w:color="000000" w:sz="4" w:space="0"/>
            </w:tcBorders>
            <w:vAlign w:val="center"/>
          </w:tcPr>
          <w:p w14:paraId="3263D93E">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w:t>
            </w:r>
          </w:p>
        </w:tc>
        <w:tc>
          <w:tcPr>
            <w:tcW w:w="3137" w:type="dxa"/>
            <w:vMerge w:val="continue"/>
            <w:tcBorders>
              <w:top w:val="single" w:color="000000" w:sz="4" w:space="0"/>
              <w:left w:val="single" w:color="000000" w:sz="4" w:space="0"/>
              <w:bottom w:val="single" w:color="000000" w:sz="4" w:space="0"/>
              <w:right w:val="single" w:color="000000" w:sz="4" w:space="0"/>
            </w:tcBorders>
            <w:vAlign w:val="center"/>
          </w:tcPr>
          <w:p w14:paraId="26232A80">
            <w:pPr>
              <w:rPr>
                <w:rFonts w:ascii="仿宋" w:hAnsi="仿宋" w:eastAsia="仿宋" w:cs="仿宋"/>
                <w:i/>
                <w:iCs/>
                <w:sz w:val="24"/>
              </w:rPr>
            </w:pPr>
          </w:p>
        </w:tc>
      </w:tr>
      <w:tr w14:paraId="652A98FF">
        <w:tblPrEx>
          <w:tblCellMar>
            <w:top w:w="0" w:type="dxa"/>
            <w:left w:w="108" w:type="dxa"/>
            <w:bottom w:w="0" w:type="dxa"/>
            <w:right w:w="108" w:type="dxa"/>
          </w:tblCellMar>
        </w:tblPrEx>
        <w:trPr>
          <w:trHeight w:val="409" w:hRule="atLeast"/>
        </w:trPr>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44542B6A">
            <w:pPr>
              <w:jc w:val="center"/>
              <w:rPr>
                <w:rFonts w:ascii="仿宋" w:hAnsi="仿宋" w:eastAsia="仿宋" w:cs="仿宋"/>
                <w:sz w:val="24"/>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614B6EC2">
            <w:pPr>
              <w:widowControl/>
              <w:jc w:val="center"/>
              <w:textAlignment w:val="center"/>
              <w:rPr>
                <w:rFonts w:ascii="仿宋" w:hAnsi="仿宋" w:eastAsia="仿宋" w:cs="仿宋"/>
                <w:sz w:val="24"/>
              </w:rPr>
            </w:pPr>
            <w:r>
              <w:rPr>
                <w:rFonts w:hint="eastAsia" w:ascii="仿宋" w:hAnsi="仿宋" w:eastAsia="仿宋" w:cs="仿宋"/>
                <w:kern w:val="0"/>
                <w:sz w:val="24"/>
              </w:rPr>
              <w:t>财政专户管理资金</w:t>
            </w:r>
          </w:p>
        </w:tc>
        <w:tc>
          <w:tcPr>
            <w:tcW w:w="950" w:type="dxa"/>
            <w:tcBorders>
              <w:top w:val="single" w:color="000000" w:sz="4" w:space="0"/>
              <w:left w:val="single" w:color="000000" w:sz="4" w:space="0"/>
              <w:bottom w:val="single" w:color="000000" w:sz="4" w:space="0"/>
              <w:right w:val="single" w:color="000000" w:sz="4" w:space="0"/>
            </w:tcBorders>
            <w:vAlign w:val="center"/>
          </w:tcPr>
          <w:p w14:paraId="2407BFA6">
            <w:pPr>
              <w:widowControl/>
              <w:jc w:val="center"/>
              <w:textAlignment w:val="center"/>
              <w:rPr>
                <w:rFonts w:ascii="仿宋" w:hAnsi="仿宋" w:eastAsia="仿宋" w:cs="仿宋"/>
                <w:sz w:val="24"/>
              </w:rPr>
            </w:pPr>
            <w:r>
              <w:rPr>
                <w:rFonts w:hint="eastAsia" w:ascii="仿宋" w:hAnsi="仿宋" w:eastAsia="仿宋" w:cs="仿宋"/>
                <w:kern w:val="0"/>
                <w:sz w:val="24"/>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0B0B7DAA">
            <w:pPr>
              <w:widowControl/>
              <w:jc w:val="center"/>
              <w:textAlignment w:val="center"/>
              <w:rPr>
                <w:rFonts w:ascii="仿宋" w:hAnsi="仿宋" w:eastAsia="仿宋" w:cs="仿宋"/>
                <w:sz w:val="24"/>
              </w:rPr>
            </w:pPr>
            <w:r>
              <w:rPr>
                <w:rFonts w:hint="eastAsia" w:ascii="仿宋" w:hAnsi="仿宋" w:eastAsia="仿宋" w:cs="仿宋"/>
                <w:kern w:val="0"/>
                <w:sz w:val="24"/>
              </w:rPr>
              <w:t>0.00</w:t>
            </w: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14:paraId="2D6AE6E4">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0.00</w:t>
            </w:r>
          </w:p>
        </w:tc>
        <w:tc>
          <w:tcPr>
            <w:tcW w:w="857" w:type="dxa"/>
            <w:tcBorders>
              <w:top w:val="single" w:color="000000" w:sz="4" w:space="0"/>
              <w:left w:val="single" w:color="000000" w:sz="4" w:space="0"/>
              <w:bottom w:val="single" w:color="000000" w:sz="4" w:space="0"/>
              <w:right w:val="single" w:color="000000" w:sz="4" w:space="0"/>
            </w:tcBorders>
            <w:vAlign w:val="center"/>
          </w:tcPr>
          <w:p w14:paraId="27413528">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0.00%</w:t>
            </w:r>
          </w:p>
        </w:tc>
        <w:tc>
          <w:tcPr>
            <w:tcW w:w="572" w:type="dxa"/>
            <w:tcBorders>
              <w:top w:val="single" w:color="000000" w:sz="4" w:space="0"/>
              <w:left w:val="single" w:color="000000" w:sz="4" w:space="0"/>
              <w:bottom w:val="single" w:color="000000" w:sz="4" w:space="0"/>
              <w:right w:val="single" w:color="000000" w:sz="4" w:space="0"/>
            </w:tcBorders>
            <w:vAlign w:val="center"/>
          </w:tcPr>
          <w:p w14:paraId="0266F382">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w:t>
            </w:r>
          </w:p>
        </w:tc>
        <w:tc>
          <w:tcPr>
            <w:tcW w:w="572" w:type="dxa"/>
            <w:tcBorders>
              <w:top w:val="single" w:color="000000" w:sz="4" w:space="0"/>
              <w:left w:val="single" w:color="000000" w:sz="4" w:space="0"/>
              <w:bottom w:val="single" w:color="000000" w:sz="4" w:space="0"/>
              <w:right w:val="single" w:color="000000" w:sz="4" w:space="0"/>
            </w:tcBorders>
            <w:vAlign w:val="center"/>
          </w:tcPr>
          <w:p w14:paraId="68600FEC">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w:t>
            </w:r>
          </w:p>
        </w:tc>
        <w:tc>
          <w:tcPr>
            <w:tcW w:w="3137" w:type="dxa"/>
            <w:vMerge w:val="continue"/>
            <w:tcBorders>
              <w:top w:val="single" w:color="000000" w:sz="4" w:space="0"/>
              <w:left w:val="single" w:color="000000" w:sz="4" w:space="0"/>
              <w:bottom w:val="single" w:color="000000" w:sz="4" w:space="0"/>
              <w:right w:val="single" w:color="000000" w:sz="4" w:space="0"/>
            </w:tcBorders>
            <w:vAlign w:val="center"/>
          </w:tcPr>
          <w:p w14:paraId="20795424">
            <w:pPr>
              <w:rPr>
                <w:rFonts w:ascii="仿宋" w:hAnsi="仿宋" w:eastAsia="仿宋" w:cs="仿宋"/>
                <w:i/>
                <w:iCs/>
                <w:sz w:val="24"/>
              </w:rPr>
            </w:pPr>
          </w:p>
        </w:tc>
      </w:tr>
      <w:tr w14:paraId="262DF5AD">
        <w:tblPrEx>
          <w:tblCellMar>
            <w:top w:w="0" w:type="dxa"/>
            <w:left w:w="108" w:type="dxa"/>
            <w:bottom w:w="0" w:type="dxa"/>
            <w:right w:w="108" w:type="dxa"/>
          </w:tblCellMar>
        </w:tblPrEx>
        <w:trPr>
          <w:trHeight w:val="360" w:hRule="atLeast"/>
        </w:trPr>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02F2B54B">
            <w:pPr>
              <w:jc w:val="center"/>
              <w:rPr>
                <w:rFonts w:ascii="仿宋" w:hAnsi="仿宋" w:eastAsia="仿宋" w:cs="仿宋"/>
                <w:sz w:val="24"/>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19F0BC30">
            <w:pPr>
              <w:widowControl/>
              <w:jc w:val="center"/>
              <w:textAlignment w:val="center"/>
              <w:rPr>
                <w:rFonts w:ascii="仿宋" w:hAnsi="仿宋" w:eastAsia="仿宋" w:cs="仿宋"/>
                <w:sz w:val="24"/>
              </w:rPr>
            </w:pPr>
            <w:r>
              <w:rPr>
                <w:rFonts w:hint="eastAsia" w:ascii="仿宋" w:hAnsi="仿宋" w:eastAsia="仿宋" w:cs="仿宋"/>
                <w:kern w:val="0"/>
                <w:sz w:val="24"/>
              </w:rPr>
              <w:t>单位资金</w:t>
            </w:r>
          </w:p>
        </w:tc>
        <w:tc>
          <w:tcPr>
            <w:tcW w:w="950" w:type="dxa"/>
            <w:tcBorders>
              <w:top w:val="single" w:color="000000" w:sz="4" w:space="0"/>
              <w:left w:val="single" w:color="000000" w:sz="4" w:space="0"/>
              <w:bottom w:val="single" w:color="000000" w:sz="4" w:space="0"/>
              <w:right w:val="single" w:color="000000" w:sz="4" w:space="0"/>
            </w:tcBorders>
            <w:vAlign w:val="center"/>
          </w:tcPr>
          <w:p w14:paraId="5D378249">
            <w:pPr>
              <w:widowControl/>
              <w:jc w:val="center"/>
              <w:textAlignment w:val="center"/>
              <w:rPr>
                <w:rFonts w:ascii="仿宋" w:hAnsi="仿宋" w:eastAsia="仿宋" w:cs="仿宋"/>
                <w:sz w:val="24"/>
              </w:rPr>
            </w:pPr>
            <w:r>
              <w:rPr>
                <w:rFonts w:hint="eastAsia" w:ascii="仿宋" w:hAnsi="仿宋" w:eastAsia="仿宋" w:cs="仿宋"/>
                <w:kern w:val="0"/>
                <w:sz w:val="24"/>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79808729">
            <w:pPr>
              <w:widowControl/>
              <w:jc w:val="center"/>
              <w:textAlignment w:val="center"/>
              <w:rPr>
                <w:rFonts w:ascii="仿宋" w:hAnsi="仿宋" w:eastAsia="仿宋" w:cs="仿宋"/>
                <w:sz w:val="24"/>
              </w:rPr>
            </w:pPr>
            <w:r>
              <w:rPr>
                <w:rFonts w:hint="eastAsia" w:ascii="仿宋" w:hAnsi="仿宋" w:eastAsia="仿宋" w:cs="仿宋"/>
                <w:kern w:val="0"/>
                <w:sz w:val="24"/>
              </w:rPr>
              <w:t>0.00</w:t>
            </w: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14:paraId="5FEF61AB">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0.00</w:t>
            </w:r>
          </w:p>
        </w:tc>
        <w:tc>
          <w:tcPr>
            <w:tcW w:w="857" w:type="dxa"/>
            <w:tcBorders>
              <w:top w:val="single" w:color="000000" w:sz="4" w:space="0"/>
              <w:left w:val="single" w:color="000000" w:sz="4" w:space="0"/>
              <w:bottom w:val="single" w:color="000000" w:sz="4" w:space="0"/>
              <w:right w:val="single" w:color="000000" w:sz="4" w:space="0"/>
            </w:tcBorders>
            <w:vAlign w:val="center"/>
          </w:tcPr>
          <w:p w14:paraId="6C21B8F4">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0.00%</w:t>
            </w:r>
          </w:p>
        </w:tc>
        <w:tc>
          <w:tcPr>
            <w:tcW w:w="572" w:type="dxa"/>
            <w:tcBorders>
              <w:top w:val="single" w:color="000000" w:sz="4" w:space="0"/>
              <w:left w:val="single" w:color="000000" w:sz="4" w:space="0"/>
              <w:bottom w:val="single" w:color="000000" w:sz="4" w:space="0"/>
              <w:right w:val="single" w:color="000000" w:sz="4" w:space="0"/>
            </w:tcBorders>
            <w:vAlign w:val="center"/>
          </w:tcPr>
          <w:p w14:paraId="4FE72F99">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w:t>
            </w:r>
          </w:p>
        </w:tc>
        <w:tc>
          <w:tcPr>
            <w:tcW w:w="572" w:type="dxa"/>
            <w:tcBorders>
              <w:top w:val="single" w:color="000000" w:sz="4" w:space="0"/>
              <w:left w:val="single" w:color="000000" w:sz="4" w:space="0"/>
              <w:bottom w:val="single" w:color="000000" w:sz="4" w:space="0"/>
              <w:right w:val="single" w:color="000000" w:sz="4" w:space="0"/>
            </w:tcBorders>
            <w:vAlign w:val="center"/>
          </w:tcPr>
          <w:p w14:paraId="191BC85E">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w:t>
            </w:r>
          </w:p>
        </w:tc>
        <w:tc>
          <w:tcPr>
            <w:tcW w:w="3137" w:type="dxa"/>
            <w:vMerge w:val="continue"/>
            <w:tcBorders>
              <w:top w:val="single" w:color="000000" w:sz="4" w:space="0"/>
              <w:left w:val="single" w:color="000000" w:sz="4" w:space="0"/>
              <w:bottom w:val="single" w:color="000000" w:sz="4" w:space="0"/>
              <w:right w:val="single" w:color="000000" w:sz="4" w:space="0"/>
            </w:tcBorders>
            <w:vAlign w:val="center"/>
          </w:tcPr>
          <w:p w14:paraId="6F68CA95">
            <w:pPr>
              <w:rPr>
                <w:rFonts w:ascii="仿宋" w:hAnsi="仿宋" w:eastAsia="仿宋" w:cs="仿宋"/>
                <w:i/>
                <w:iCs/>
                <w:sz w:val="24"/>
              </w:rPr>
            </w:pPr>
          </w:p>
        </w:tc>
      </w:tr>
      <w:tr w14:paraId="29BAEC0F">
        <w:tblPrEx>
          <w:tblCellMar>
            <w:top w:w="0" w:type="dxa"/>
            <w:left w:w="108" w:type="dxa"/>
            <w:bottom w:w="0" w:type="dxa"/>
            <w:right w:w="108" w:type="dxa"/>
          </w:tblCellMar>
        </w:tblPrEx>
        <w:trPr>
          <w:trHeight w:val="338" w:hRule="atLeast"/>
        </w:trPr>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0BF8925F">
            <w:pPr>
              <w:jc w:val="center"/>
              <w:rPr>
                <w:rFonts w:ascii="仿宋" w:hAnsi="仿宋" w:eastAsia="仿宋" w:cs="仿宋"/>
                <w:sz w:val="24"/>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36793922">
            <w:pPr>
              <w:widowControl/>
              <w:jc w:val="center"/>
              <w:textAlignment w:val="center"/>
              <w:rPr>
                <w:rFonts w:ascii="仿宋" w:hAnsi="仿宋" w:eastAsia="仿宋" w:cs="仿宋"/>
                <w:sz w:val="24"/>
              </w:rPr>
            </w:pPr>
            <w:r>
              <w:rPr>
                <w:rFonts w:hint="eastAsia" w:ascii="仿宋" w:hAnsi="仿宋" w:eastAsia="仿宋" w:cs="仿宋"/>
                <w:kern w:val="0"/>
                <w:sz w:val="24"/>
              </w:rPr>
              <w:t>其他资金</w:t>
            </w:r>
          </w:p>
        </w:tc>
        <w:tc>
          <w:tcPr>
            <w:tcW w:w="950" w:type="dxa"/>
            <w:tcBorders>
              <w:top w:val="single" w:color="000000" w:sz="4" w:space="0"/>
              <w:left w:val="single" w:color="000000" w:sz="4" w:space="0"/>
              <w:bottom w:val="single" w:color="000000" w:sz="4" w:space="0"/>
              <w:right w:val="single" w:color="000000" w:sz="4" w:space="0"/>
            </w:tcBorders>
            <w:vAlign w:val="center"/>
          </w:tcPr>
          <w:p w14:paraId="394ECD23">
            <w:pPr>
              <w:jc w:val="center"/>
              <w:rPr>
                <w:rFonts w:ascii="仿宋" w:hAnsi="仿宋" w:eastAsia="仿宋" w:cs="仿宋"/>
                <w:i/>
                <w:iCs/>
                <w:sz w:val="24"/>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633341B8">
            <w:pPr>
              <w:jc w:val="center"/>
              <w:rPr>
                <w:rFonts w:ascii="仿宋" w:hAnsi="仿宋" w:eastAsia="仿宋" w:cs="仿宋"/>
                <w:i/>
                <w:iCs/>
                <w:sz w:val="24"/>
              </w:rPr>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14:paraId="22AFA497">
            <w:pPr>
              <w:jc w:val="center"/>
              <w:rPr>
                <w:rFonts w:ascii="仿宋" w:hAnsi="仿宋" w:eastAsia="仿宋" w:cs="仿宋"/>
                <w:i/>
                <w:iCs/>
                <w:color w:val="000000" w:themeColor="text1"/>
                <w:sz w:val="24"/>
              </w:rPr>
            </w:pPr>
          </w:p>
        </w:tc>
        <w:tc>
          <w:tcPr>
            <w:tcW w:w="857" w:type="dxa"/>
            <w:tcBorders>
              <w:top w:val="single" w:color="000000" w:sz="4" w:space="0"/>
              <w:left w:val="single" w:color="000000" w:sz="4" w:space="0"/>
              <w:bottom w:val="single" w:color="000000" w:sz="4" w:space="0"/>
              <w:right w:val="single" w:color="000000" w:sz="4" w:space="0"/>
            </w:tcBorders>
            <w:vAlign w:val="center"/>
          </w:tcPr>
          <w:p w14:paraId="44610447">
            <w:pPr>
              <w:jc w:val="center"/>
              <w:rPr>
                <w:rFonts w:ascii="仿宋" w:hAnsi="仿宋" w:eastAsia="仿宋" w:cs="仿宋"/>
                <w:i/>
                <w:iCs/>
                <w:color w:val="000000" w:themeColor="text1"/>
                <w:sz w:val="24"/>
              </w:rPr>
            </w:pPr>
          </w:p>
        </w:tc>
        <w:tc>
          <w:tcPr>
            <w:tcW w:w="572" w:type="dxa"/>
            <w:tcBorders>
              <w:top w:val="single" w:color="000000" w:sz="4" w:space="0"/>
              <w:left w:val="single" w:color="000000" w:sz="4" w:space="0"/>
              <w:bottom w:val="single" w:color="000000" w:sz="4" w:space="0"/>
              <w:right w:val="single" w:color="000000" w:sz="4" w:space="0"/>
            </w:tcBorders>
            <w:vAlign w:val="center"/>
          </w:tcPr>
          <w:p w14:paraId="100A820E">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w:t>
            </w:r>
          </w:p>
        </w:tc>
        <w:tc>
          <w:tcPr>
            <w:tcW w:w="572" w:type="dxa"/>
            <w:tcBorders>
              <w:top w:val="single" w:color="000000" w:sz="4" w:space="0"/>
              <w:left w:val="single" w:color="000000" w:sz="4" w:space="0"/>
              <w:bottom w:val="single" w:color="000000" w:sz="4" w:space="0"/>
              <w:right w:val="single" w:color="000000" w:sz="4" w:space="0"/>
            </w:tcBorders>
            <w:vAlign w:val="center"/>
          </w:tcPr>
          <w:p w14:paraId="462C23D9">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w:t>
            </w:r>
          </w:p>
        </w:tc>
        <w:tc>
          <w:tcPr>
            <w:tcW w:w="3137" w:type="dxa"/>
            <w:vMerge w:val="continue"/>
            <w:tcBorders>
              <w:top w:val="single" w:color="000000" w:sz="4" w:space="0"/>
              <w:left w:val="single" w:color="000000" w:sz="4" w:space="0"/>
              <w:bottom w:val="single" w:color="000000" w:sz="4" w:space="0"/>
              <w:right w:val="single" w:color="000000" w:sz="4" w:space="0"/>
            </w:tcBorders>
            <w:vAlign w:val="center"/>
          </w:tcPr>
          <w:p w14:paraId="6DEDACB3">
            <w:pPr>
              <w:rPr>
                <w:rFonts w:ascii="仿宋" w:hAnsi="仿宋" w:eastAsia="仿宋" w:cs="仿宋"/>
                <w:i/>
                <w:iCs/>
                <w:sz w:val="24"/>
              </w:rPr>
            </w:pPr>
          </w:p>
        </w:tc>
      </w:tr>
      <w:tr w14:paraId="6CE61ED5">
        <w:tblPrEx>
          <w:tblCellMar>
            <w:top w:w="0" w:type="dxa"/>
            <w:left w:w="108" w:type="dxa"/>
            <w:bottom w:w="0" w:type="dxa"/>
            <w:right w:w="108" w:type="dxa"/>
          </w:tblCellMar>
        </w:tblPrEx>
        <w:trPr>
          <w:trHeight w:val="454" w:hRule="atLeast"/>
        </w:trPr>
        <w:tc>
          <w:tcPr>
            <w:tcW w:w="1053" w:type="dxa"/>
            <w:vMerge w:val="restart"/>
            <w:tcBorders>
              <w:top w:val="single" w:color="000000" w:sz="4" w:space="0"/>
              <w:left w:val="single" w:color="000000" w:sz="4" w:space="0"/>
              <w:bottom w:val="single" w:color="000000" w:sz="4" w:space="0"/>
              <w:right w:val="single" w:color="000000" w:sz="4" w:space="0"/>
            </w:tcBorders>
            <w:vAlign w:val="center"/>
          </w:tcPr>
          <w:p w14:paraId="6DDB0914">
            <w:pPr>
              <w:widowControl/>
              <w:jc w:val="center"/>
              <w:textAlignment w:val="center"/>
              <w:rPr>
                <w:rFonts w:ascii="仿宋" w:hAnsi="仿宋" w:eastAsia="仿宋" w:cs="仿宋"/>
                <w:sz w:val="24"/>
              </w:rPr>
            </w:pPr>
            <w:r>
              <w:rPr>
                <w:rFonts w:hint="eastAsia" w:ascii="仿宋" w:hAnsi="仿宋" w:eastAsia="仿宋" w:cs="仿宋"/>
                <w:kern w:val="0"/>
                <w:sz w:val="24"/>
              </w:rPr>
              <w:t>绩效指标（90分）</w:t>
            </w:r>
          </w:p>
        </w:tc>
        <w:tc>
          <w:tcPr>
            <w:tcW w:w="841" w:type="dxa"/>
            <w:tcBorders>
              <w:top w:val="single" w:color="000000" w:sz="4" w:space="0"/>
              <w:left w:val="single" w:color="000000" w:sz="4" w:space="0"/>
              <w:bottom w:val="single" w:color="000000" w:sz="4" w:space="0"/>
              <w:right w:val="single" w:color="000000" w:sz="4" w:space="0"/>
            </w:tcBorders>
            <w:vAlign w:val="center"/>
          </w:tcPr>
          <w:p w14:paraId="36007612">
            <w:pPr>
              <w:widowControl/>
              <w:jc w:val="center"/>
              <w:textAlignment w:val="center"/>
              <w:rPr>
                <w:rFonts w:ascii="仿宋" w:hAnsi="仿宋" w:eastAsia="仿宋" w:cs="仿宋"/>
                <w:sz w:val="24"/>
              </w:rPr>
            </w:pPr>
            <w:r>
              <w:rPr>
                <w:rFonts w:hint="eastAsia" w:ascii="仿宋" w:hAnsi="仿宋" w:eastAsia="仿宋" w:cs="仿宋"/>
                <w:kern w:val="0"/>
                <w:sz w:val="24"/>
              </w:rPr>
              <w:t>一级指标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4631B31A">
            <w:pPr>
              <w:widowControl/>
              <w:jc w:val="center"/>
              <w:textAlignment w:val="center"/>
              <w:rPr>
                <w:rFonts w:ascii="仿宋" w:hAnsi="仿宋" w:eastAsia="仿宋" w:cs="仿宋"/>
                <w:sz w:val="24"/>
              </w:rPr>
            </w:pPr>
            <w:r>
              <w:rPr>
                <w:rFonts w:hint="eastAsia" w:ascii="仿宋" w:hAnsi="仿宋" w:eastAsia="仿宋" w:cs="仿宋"/>
                <w:kern w:val="0"/>
                <w:sz w:val="24"/>
              </w:rPr>
              <w:t>二级指标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0E208276">
            <w:pPr>
              <w:widowControl/>
              <w:jc w:val="center"/>
              <w:textAlignment w:val="center"/>
              <w:rPr>
                <w:rFonts w:ascii="仿宋" w:hAnsi="仿宋" w:eastAsia="仿宋" w:cs="仿宋"/>
                <w:sz w:val="24"/>
              </w:rPr>
            </w:pPr>
            <w:r>
              <w:rPr>
                <w:rFonts w:hint="eastAsia" w:ascii="仿宋" w:hAnsi="仿宋" w:eastAsia="仿宋" w:cs="仿宋"/>
                <w:kern w:val="0"/>
                <w:sz w:val="24"/>
              </w:rPr>
              <w:t>三级指标</w:t>
            </w:r>
          </w:p>
        </w:tc>
        <w:tc>
          <w:tcPr>
            <w:tcW w:w="540" w:type="dxa"/>
            <w:tcBorders>
              <w:top w:val="single" w:color="000000" w:sz="4" w:space="0"/>
              <w:left w:val="single" w:color="000000" w:sz="4" w:space="0"/>
              <w:bottom w:val="single" w:color="000000" w:sz="4" w:space="0"/>
              <w:right w:val="single" w:color="000000" w:sz="4" w:space="0"/>
            </w:tcBorders>
            <w:vAlign w:val="center"/>
          </w:tcPr>
          <w:p w14:paraId="135F7160">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指标性质</w:t>
            </w:r>
          </w:p>
        </w:tc>
        <w:tc>
          <w:tcPr>
            <w:tcW w:w="855" w:type="dxa"/>
            <w:tcBorders>
              <w:top w:val="single" w:color="000000" w:sz="4" w:space="0"/>
              <w:left w:val="single" w:color="000000" w:sz="4" w:space="0"/>
              <w:bottom w:val="single" w:color="000000" w:sz="4" w:space="0"/>
              <w:right w:val="single" w:color="000000" w:sz="4" w:space="0"/>
            </w:tcBorders>
            <w:vAlign w:val="center"/>
          </w:tcPr>
          <w:p w14:paraId="33AC2E64">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指标值</w:t>
            </w:r>
          </w:p>
        </w:tc>
        <w:tc>
          <w:tcPr>
            <w:tcW w:w="540" w:type="dxa"/>
            <w:tcBorders>
              <w:top w:val="single" w:color="000000" w:sz="4" w:space="0"/>
              <w:left w:val="single" w:color="000000" w:sz="4" w:space="0"/>
              <w:bottom w:val="single" w:color="000000" w:sz="4" w:space="0"/>
              <w:right w:val="single" w:color="000000" w:sz="4" w:space="0"/>
            </w:tcBorders>
            <w:vAlign w:val="center"/>
          </w:tcPr>
          <w:p w14:paraId="670CFBD8">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度量单位</w:t>
            </w:r>
          </w:p>
        </w:tc>
        <w:tc>
          <w:tcPr>
            <w:tcW w:w="857" w:type="dxa"/>
            <w:tcBorders>
              <w:top w:val="single" w:color="000000" w:sz="4" w:space="0"/>
              <w:left w:val="single" w:color="000000" w:sz="4" w:space="0"/>
              <w:bottom w:val="single" w:color="000000" w:sz="4" w:space="0"/>
              <w:right w:val="single" w:color="000000" w:sz="4" w:space="0"/>
            </w:tcBorders>
            <w:vAlign w:val="center"/>
          </w:tcPr>
          <w:p w14:paraId="7373DA4F">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完成值</w:t>
            </w:r>
          </w:p>
        </w:tc>
        <w:tc>
          <w:tcPr>
            <w:tcW w:w="572" w:type="dxa"/>
            <w:tcBorders>
              <w:top w:val="single" w:color="000000" w:sz="4" w:space="0"/>
              <w:left w:val="single" w:color="000000" w:sz="4" w:space="0"/>
              <w:bottom w:val="single" w:color="000000" w:sz="4" w:space="0"/>
              <w:right w:val="single" w:color="000000" w:sz="4" w:space="0"/>
            </w:tcBorders>
            <w:vAlign w:val="center"/>
          </w:tcPr>
          <w:p w14:paraId="29FAA88B">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权重</w:t>
            </w:r>
          </w:p>
        </w:tc>
        <w:tc>
          <w:tcPr>
            <w:tcW w:w="572" w:type="dxa"/>
            <w:tcBorders>
              <w:top w:val="single" w:color="000000" w:sz="4" w:space="0"/>
              <w:left w:val="single" w:color="000000" w:sz="4" w:space="0"/>
              <w:bottom w:val="single" w:color="000000" w:sz="4" w:space="0"/>
              <w:right w:val="single" w:color="000000" w:sz="4" w:space="0"/>
            </w:tcBorders>
            <w:vAlign w:val="center"/>
          </w:tcPr>
          <w:p w14:paraId="04D95DFD">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得分</w:t>
            </w:r>
          </w:p>
        </w:tc>
        <w:tc>
          <w:tcPr>
            <w:tcW w:w="3137" w:type="dxa"/>
            <w:tcBorders>
              <w:top w:val="single" w:color="000000" w:sz="4" w:space="0"/>
              <w:left w:val="single" w:color="000000" w:sz="4" w:space="0"/>
              <w:bottom w:val="single" w:color="000000" w:sz="4" w:space="0"/>
              <w:right w:val="single" w:color="000000" w:sz="4" w:space="0"/>
            </w:tcBorders>
            <w:vAlign w:val="center"/>
          </w:tcPr>
          <w:p w14:paraId="5D6D53E7">
            <w:pPr>
              <w:widowControl/>
              <w:jc w:val="center"/>
              <w:textAlignment w:val="center"/>
              <w:rPr>
                <w:rFonts w:ascii="仿宋" w:hAnsi="仿宋" w:eastAsia="仿宋" w:cs="仿宋"/>
                <w:sz w:val="24"/>
              </w:rPr>
            </w:pPr>
            <w:r>
              <w:rPr>
                <w:rFonts w:hint="eastAsia" w:ascii="仿宋" w:hAnsi="仿宋" w:eastAsia="仿宋" w:cs="仿宋"/>
                <w:kern w:val="0"/>
                <w:sz w:val="24"/>
              </w:rPr>
              <w:t>未完成原因分析</w:t>
            </w:r>
          </w:p>
        </w:tc>
      </w:tr>
      <w:tr w14:paraId="7244B841">
        <w:tblPrEx>
          <w:tblCellMar>
            <w:top w:w="0" w:type="dxa"/>
            <w:left w:w="108" w:type="dxa"/>
            <w:bottom w:w="0" w:type="dxa"/>
            <w:right w:w="108" w:type="dxa"/>
          </w:tblCellMar>
        </w:tblPrEx>
        <w:trPr>
          <w:trHeight w:val="454" w:hRule="atLeast"/>
        </w:trPr>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0B4C29AE">
            <w:pPr>
              <w:jc w:val="center"/>
              <w:rPr>
                <w:rFonts w:ascii="仿宋" w:hAnsi="仿宋" w:eastAsia="仿宋" w:cs="仿宋"/>
                <w:sz w:val="24"/>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59B3B841">
            <w:pPr>
              <w:widowControl/>
              <w:jc w:val="center"/>
              <w:textAlignment w:val="center"/>
              <w:rPr>
                <w:rFonts w:ascii="仿宋" w:hAnsi="仿宋" w:eastAsia="仿宋" w:cs="仿宋"/>
                <w:sz w:val="24"/>
              </w:rPr>
            </w:pPr>
            <w:r>
              <w:rPr>
                <w:rFonts w:hint="eastAsia" w:ascii="仿宋" w:hAnsi="仿宋" w:eastAsia="仿宋" w:cs="仿宋"/>
                <w:kern w:val="0"/>
                <w:sz w:val="24"/>
              </w:rPr>
              <w:t>产出指标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7C2EC9CC">
            <w:pPr>
              <w:widowControl/>
              <w:jc w:val="center"/>
              <w:textAlignment w:val="center"/>
              <w:rPr>
                <w:rFonts w:ascii="仿宋" w:hAnsi="仿宋" w:eastAsia="仿宋" w:cs="仿宋"/>
                <w:sz w:val="24"/>
              </w:rPr>
            </w:pPr>
            <w:r>
              <w:rPr>
                <w:rFonts w:hint="eastAsia" w:ascii="仿宋" w:hAnsi="仿宋" w:eastAsia="仿宋" w:cs="仿宋"/>
                <w:kern w:val="0"/>
                <w:sz w:val="24"/>
              </w:rPr>
              <w:t>数量指标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2386E57E">
            <w:pPr>
              <w:widowControl/>
              <w:jc w:val="center"/>
              <w:textAlignment w:val="center"/>
              <w:rPr>
                <w:rFonts w:ascii="仿宋" w:hAnsi="仿宋" w:eastAsia="仿宋" w:cs="仿宋"/>
                <w:sz w:val="24"/>
              </w:rPr>
            </w:pPr>
            <w:r>
              <w:rPr>
                <w:rFonts w:hint="eastAsia" w:ascii="仿宋" w:hAnsi="仿宋" w:eastAsia="仿宋" w:cs="仿宋"/>
                <w:kern w:val="0"/>
                <w:sz w:val="24"/>
              </w:rPr>
              <w:t>2024年学生营养餐</w:t>
            </w:r>
          </w:p>
        </w:tc>
        <w:tc>
          <w:tcPr>
            <w:tcW w:w="540" w:type="dxa"/>
            <w:tcBorders>
              <w:top w:val="single" w:color="000000" w:sz="4" w:space="0"/>
              <w:left w:val="single" w:color="000000" w:sz="4" w:space="0"/>
              <w:bottom w:val="single" w:color="000000" w:sz="4" w:space="0"/>
              <w:right w:val="single" w:color="000000" w:sz="4" w:space="0"/>
            </w:tcBorders>
            <w:vAlign w:val="center"/>
          </w:tcPr>
          <w:p w14:paraId="445AC636">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w:t>
            </w:r>
          </w:p>
        </w:tc>
        <w:tc>
          <w:tcPr>
            <w:tcW w:w="855" w:type="dxa"/>
            <w:tcBorders>
              <w:top w:val="single" w:color="000000" w:sz="4" w:space="0"/>
              <w:left w:val="single" w:color="000000" w:sz="4" w:space="0"/>
              <w:bottom w:val="single" w:color="000000" w:sz="4" w:space="0"/>
              <w:right w:val="single" w:color="000000" w:sz="4" w:space="0"/>
            </w:tcBorders>
            <w:vAlign w:val="center"/>
          </w:tcPr>
          <w:p w14:paraId="11A54578">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68210</w:t>
            </w:r>
          </w:p>
        </w:tc>
        <w:tc>
          <w:tcPr>
            <w:tcW w:w="540" w:type="dxa"/>
            <w:tcBorders>
              <w:top w:val="single" w:color="000000" w:sz="4" w:space="0"/>
              <w:left w:val="single" w:color="000000" w:sz="4" w:space="0"/>
              <w:bottom w:val="single" w:color="000000" w:sz="4" w:space="0"/>
              <w:right w:val="single" w:color="000000" w:sz="4" w:space="0"/>
            </w:tcBorders>
            <w:vAlign w:val="center"/>
          </w:tcPr>
          <w:p w14:paraId="554F2ABA">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元/年</w:t>
            </w:r>
          </w:p>
        </w:tc>
        <w:tc>
          <w:tcPr>
            <w:tcW w:w="857" w:type="dxa"/>
            <w:tcBorders>
              <w:top w:val="single" w:color="000000" w:sz="4" w:space="0"/>
              <w:left w:val="single" w:color="000000" w:sz="4" w:space="0"/>
              <w:bottom w:val="single" w:color="000000" w:sz="4" w:space="0"/>
              <w:right w:val="single" w:color="000000" w:sz="4" w:space="0"/>
            </w:tcBorders>
            <w:vAlign w:val="center"/>
          </w:tcPr>
          <w:p w14:paraId="0C95655B">
            <w:pPr>
              <w:widowControl/>
              <w:jc w:val="center"/>
              <w:textAlignment w:val="center"/>
              <w:rPr>
                <w:rFonts w:ascii="仿宋" w:hAnsi="仿宋" w:eastAsia="仿宋" w:cs="仿宋"/>
                <w:i/>
                <w:iCs/>
                <w:color w:val="000000" w:themeColor="text1"/>
                <w:sz w:val="24"/>
              </w:rPr>
            </w:pPr>
            <w:r>
              <w:rPr>
                <w:rFonts w:hint="eastAsia" w:ascii="仿宋" w:hAnsi="仿宋" w:eastAsia="仿宋" w:cs="仿宋"/>
                <w:color w:val="000000" w:themeColor="text1"/>
                <w:kern w:val="0"/>
                <w:sz w:val="24"/>
              </w:rPr>
              <w:t>68210</w:t>
            </w:r>
          </w:p>
        </w:tc>
        <w:tc>
          <w:tcPr>
            <w:tcW w:w="572" w:type="dxa"/>
            <w:tcBorders>
              <w:top w:val="single" w:color="000000" w:sz="4" w:space="0"/>
              <w:left w:val="single" w:color="000000" w:sz="4" w:space="0"/>
              <w:bottom w:val="single" w:color="000000" w:sz="4" w:space="0"/>
              <w:right w:val="single" w:color="000000" w:sz="4" w:space="0"/>
            </w:tcBorders>
            <w:vAlign w:val="center"/>
          </w:tcPr>
          <w:p w14:paraId="0BA76661">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40</w:t>
            </w:r>
          </w:p>
        </w:tc>
        <w:tc>
          <w:tcPr>
            <w:tcW w:w="572" w:type="dxa"/>
            <w:tcBorders>
              <w:top w:val="single" w:color="000000" w:sz="4" w:space="0"/>
              <w:left w:val="single" w:color="000000" w:sz="4" w:space="0"/>
              <w:bottom w:val="single" w:color="000000" w:sz="4" w:space="0"/>
              <w:right w:val="single" w:color="000000" w:sz="4" w:space="0"/>
            </w:tcBorders>
            <w:vAlign w:val="center"/>
          </w:tcPr>
          <w:p w14:paraId="6230026E">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40</w:t>
            </w:r>
          </w:p>
        </w:tc>
        <w:tc>
          <w:tcPr>
            <w:tcW w:w="3137" w:type="dxa"/>
            <w:tcBorders>
              <w:top w:val="single" w:color="000000" w:sz="4" w:space="0"/>
              <w:left w:val="single" w:color="000000" w:sz="4" w:space="0"/>
              <w:bottom w:val="single" w:color="000000" w:sz="4" w:space="0"/>
              <w:right w:val="single" w:color="000000" w:sz="4" w:space="0"/>
            </w:tcBorders>
            <w:vAlign w:val="center"/>
          </w:tcPr>
          <w:p w14:paraId="59BDFE86">
            <w:pPr>
              <w:widowControl/>
              <w:jc w:val="center"/>
              <w:textAlignment w:val="center"/>
              <w:rPr>
                <w:rFonts w:ascii="仿宋" w:hAnsi="仿宋" w:eastAsia="仿宋" w:cs="仿宋"/>
                <w:i/>
                <w:iCs/>
                <w:sz w:val="24"/>
              </w:rPr>
            </w:pPr>
            <w:r>
              <w:rPr>
                <w:rFonts w:hint="eastAsia" w:ascii="仿宋" w:hAnsi="仿宋" w:eastAsia="仿宋" w:cs="仿宋"/>
                <w:i/>
                <w:iCs/>
                <w:kern w:val="0"/>
                <w:sz w:val="24"/>
              </w:rPr>
              <w:t>2024年秋季学期营养餐采用集中供应，因为询价，供应商未及时提供发票，所以无法转账造成的。</w:t>
            </w:r>
          </w:p>
        </w:tc>
      </w:tr>
      <w:tr w14:paraId="1D5FAA52">
        <w:tblPrEx>
          <w:tblCellMar>
            <w:top w:w="0" w:type="dxa"/>
            <w:left w:w="108" w:type="dxa"/>
            <w:bottom w:w="0" w:type="dxa"/>
            <w:right w:w="108" w:type="dxa"/>
          </w:tblCellMar>
        </w:tblPrEx>
        <w:trPr>
          <w:trHeight w:val="454" w:hRule="atLeast"/>
        </w:trPr>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21D3DA59">
            <w:pPr>
              <w:jc w:val="center"/>
              <w:rPr>
                <w:rFonts w:ascii="仿宋" w:hAnsi="仿宋" w:eastAsia="仿宋" w:cs="仿宋"/>
                <w:sz w:val="24"/>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405060BE">
            <w:pPr>
              <w:widowControl/>
              <w:jc w:val="center"/>
              <w:textAlignment w:val="center"/>
              <w:rPr>
                <w:rFonts w:ascii="仿宋" w:hAnsi="仿宋" w:eastAsia="仿宋" w:cs="仿宋"/>
                <w:sz w:val="24"/>
              </w:rPr>
            </w:pPr>
            <w:r>
              <w:rPr>
                <w:rFonts w:hint="eastAsia" w:ascii="仿宋" w:hAnsi="仿宋" w:eastAsia="仿宋" w:cs="仿宋"/>
                <w:kern w:val="0"/>
                <w:sz w:val="24"/>
              </w:rPr>
              <w:t>效益指标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7065F60A">
            <w:pPr>
              <w:widowControl/>
              <w:jc w:val="center"/>
              <w:textAlignment w:val="center"/>
              <w:rPr>
                <w:rFonts w:ascii="仿宋" w:hAnsi="仿宋" w:eastAsia="仿宋" w:cs="仿宋"/>
                <w:sz w:val="24"/>
              </w:rPr>
            </w:pPr>
            <w:r>
              <w:rPr>
                <w:rFonts w:hint="eastAsia" w:ascii="仿宋" w:hAnsi="仿宋" w:eastAsia="仿宋" w:cs="仿宋"/>
                <w:kern w:val="0"/>
                <w:sz w:val="24"/>
              </w:rPr>
              <w:t>社会效益指标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4431F687">
            <w:pPr>
              <w:widowControl/>
              <w:jc w:val="center"/>
              <w:textAlignment w:val="center"/>
              <w:rPr>
                <w:rFonts w:ascii="仿宋" w:hAnsi="仿宋" w:eastAsia="仿宋" w:cs="仿宋"/>
                <w:sz w:val="24"/>
              </w:rPr>
            </w:pPr>
            <w:r>
              <w:rPr>
                <w:rFonts w:hint="eastAsia" w:ascii="仿宋" w:hAnsi="仿宋" w:eastAsia="仿宋" w:cs="仿宋"/>
                <w:kern w:val="0"/>
                <w:sz w:val="24"/>
              </w:rPr>
              <w:t>2024年学生营养餐</w:t>
            </w:r>
          </w:p>
        </w:tc>
        <w:tc>
          <w:tcPr>
            <w:tcW w:w="540" w:type="dxa"/>
            <w:tcBorders>
              <w:top w:val="single" w:color="000000" w:sz="4" w:space="0"/>
              <w:left w:val="single" w:color="000000" w:sz="4" w:space="0"/>
              <w:bottom w:val="single" w:color="000000" w:sz="4" w:space="0"/>
              <w:right w:val="single" w:color="000000" w:sz="4" w:space="0"/>
            </w:tcBorders>
            <w:vAlign w:val="center"/>
          </w:tcPr>
          <w:p w14:paraId="7D1D7AD0">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w:t>
            </w:r>
          </w:p>
        </w:tc>
        <w:tc>
          <w:tcPr>
            <w:tcW w:w="855" w:type="dxa"/>
            <w:tcBorders>
              <w:top w:val="single" w:color="000000" w:sz="4" w:space="0"/>
              <w:left w:val="single" w:color="000000" w:sz="4" w:space="0"/>
              <w:bottom w:val="single" w:color="000000" w:sz="4" w:space="0"/>
              <w:right w:val="single" w:color="000000" w:sz="4" w:space="0"/>
            </w:tcBorders>
            <w:vAlign w:val="center"/>
          </w:tcPr>
          <w:p w14:paraId="6FE66408">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68210</w:t>
            </w:r>
          </w:p>
        </w:tc>
        <w:tc>
          <w:tcPr>
            <w:tcW w:w="540" w:type="dxa"/>
            <w:tcBorders>
              <w:top w:val="single" w:color="000000" w:sz="4" w:space="0"/>
              <w:left w:val="single" w:color="000000" w:sz="4" w:space="0"/>
              <w:bottom w:val="single" w:color="000000" w:sz="4" w:space="0"/>
              <w:right w:val="single" w:color="000000" w:sz="4" w:space="0"/>
            </w:tcBorders>
            <w:vAlign w:val="center"/>
          </w:tcPr>
          <w:p w14:paraId="78ED4DC7">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元/年</w:t>
            </w:r>
          </w:p>
        </w:tc>
        <w:tc>
          <w:tcPr>
            <w:tcW w:w="857" w:type="dxa"/>
            <w:tcBorders>
              <w:top w:val="single" w:color="000000" w:sz="4" w:space="0"/>
              <w:left w:val="single" w:color="000000" w:sz="4" w:space="0"/>
              <w:bottom w:val="single" w:color="000000" w:sz="4" w:space="0"/>
              <w:right w:val="single" w:color="000000" w:sz="4" w:space="0"/>
            </w:tcBorders>
            <w:vAlign w:val="center"/>
          </w:tcPr>
          <w:p w14:paraId="493331D4">
            <w:pPr>
              <w:widowControl/>
              <w:jc w:val="center"/>
              <w:textAlignment w:val="center"/>
              <w:rPr>
                <w:rFonts w:ascii="仿宋" w:hAnsi="仿宋" w:eastAsia="仿宋" w:cs="仿宋"/>
                <w:i/>
                <w:iCs/>
                <w:color w:val="000000" w:themeColor="text1"/>
                <w:sz w:val="24"/>
              </w:rPr>
            </w:pPr>
            <w:r>
              <w:rPr>
                <w:rFonts w:hint="eastAsia" w:ascii="仿宋" w:hAnsi="仿宋" w:eastAsia="仿宋" w:cs="仿宋"/>
                <w:color w:val="000000" w:themeColor="text1"/>
                <w:kern w:val="0"/>
                <w:sz w:val="24"/>
              </w:rPr>
              <w:t>68210</w:t>
            </w:r>
          </w:p>
        </w:tc>
        <w:tc>
          <w:tcPr>
            <w:tcW w:w="572" w:type="dxa"/>
            <w:tcBorders>
              <w:top w:val="single" w:color="000000" w:sz="4" w:space="0"/>
              <w:left w:val="single" w:color="000000" w:sz="4" w:space="0"/>
              <w:bottom w:val="single" w:color="000000" w:sz="4" w:space="0"/>
              <w:right w:val="single" w:color="000000" w:sz="4" w:space="0"/>
            </w:tcBorders>
            <w:vAlign w:val="center"/>
          </w:tcPr>
          <w:p w14:paraId="31112DDF">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20</w:t>
            </w:r>
          </w:p>
        </w:tc>
        <w:tc>
          <w:tcPr>
            <w:tcW w:w="572" w:type="dxa"/>
            <w:tcBorders>
              <w:top w:val="single" w:color="000000" w:sz="4" w:space="0"/>
              <w:left w:val="single" w:color="000000" w:sz="4" w:space="0"/>
              <w:bottom w:val="single" w:color="000000" w:sz="4" w:space="0"/>
              <w:right w:val="single" w:color="000000" w:sz="4" w:space="0"/>
            </w:tcBorders>
            <w:vAlign w:val="center"/>
          </w:tcPr>
          <w:p w14:paraId="76AFE83C">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20</w:t>
            </w:r>
          </w:p>
        </w:tc>
        <w:tc>
          <w:tcPr>
            <w:tcW w:w="3137" w:type="dxa"/>
            <w:tcBorders>
              <w:top w:val="single" w:color="000000" w:sz="4" w:space="0"/>
              <w:left w:val="single" w:color="000000" w:sz="4" w:space="0"/>
              <w:bottom w:val="single" w:color="000000" w:sz="4" w:space="0"/>
              <w:right w:val="single" w:color="000000" w:sz="4" w:space="0"/>
            </w:tcBorders>
            <w:vAlign w:val="center"/>
          </w:tcPr>
          <w:p w14:paraId="282E211E">
            <w:pPr>
              <w:widowControl/>
              <w:jc w:val="center"/>
              <w:textAlignment w:val="center"/>
              <w:rPr>
                <w:rFonts w:ascii="仿宋" w:hAnsi="仿宋" w:eastAsia="仿宋" w:cs="仿宋"/>
                <w:i/>
                <w:iCs/>
                <w:sz w:val="24"/>
              </w:rPr>
            </w:pPr>
            <w:r>
              <w:rPr>
                <w:rFonts w:hint="eastAsia" w:ascii="仿宋" w:hAnsi="仿宋" w:eastAsia="仿宋" w:cs="仿宋"/>
                <w:i/>
                <w:iCs/>
                <w:kern w:val="0"/>
                <w:sz w:val="24"/>
              </w:rPr>
              <w:t>2024年秋季学期营养餐采用集中供应，因为询价，供应商未及时提供发票，所以无法转账造成的。</w:t>
            </w:r>
          </w:p>
        </w:tc>
      </w:tr>
      <w:tr w14:paraId="0834A15F">
        <w:tblPrEx>
          <w:tblCellMar>
            <w:top w:w="0" w:type="dxa"/>
            <w:left w:w="108" w:type="dxa"/>
            <w:bottom w:w="0" w:type="dxa"/>
            <w:right w:w="108" w:type="dxa"/>
          </w:tblCellMar>
        </w:tblPrEx>
        <w:trPr>
          <w:trHeight w:val="454" w:hRule="atLeast"/>
        </w:trPr>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5B2E2FC3">
            <w:pPr>
              <w:jc w:val="center"/>
              <w:rPr>
                <w:rFonts w:ascii="仿宋" w:hAnsi="仿宋" w:eastAsia="仿宋" w:cs="仿宋"/>
                <w:sz w:val="24"/>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52A6EF52">
            <w:pPr>
              <w:widowControl/>
              <w:jc w:val="center"/>
              <w:textAlignment w:val="center"/>
              <w:rPr>
                <w:rFonts w:ascii="仿宋" w:hAnsi="仿宋" w:eastAsia="仿宋" w:cs="仿宋"/>
                <w:sz w:val="24"/>
              </w:rPr>
            </w:pPr>
            <w:r>
              <w:rPr>
                <w:rFonts w:hint="eastAsia" w:ascii="仿宋" w:hAnsi="仿宋" w:eastAsia="仿宋" w:cs="仿宋"/>
                <w:kern w:val="0"/>
                <w:sz w:val="24"/>
              </w:rPr>
              <w:t>满意度指标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4B578C7C">
            <w:pPr>
              <w:widowControl/>
              <w:jc w:val="center"/>
              <w:textAlignment w:val="center"/>
              <w:rPr>
                <w:rFonts w:ascii="仿宋" w:hAnsi="仿宋" w:eastAsia="仿宋" w:cs="仿宋"/>
                <w:sz w:val="24"/>
              </w:rPr>
            </w:pPr>
            <w:r>
              <w:rPr>
                <w:rFonts w:hint="eastAsia" w:ascii="仿宋" w:hAnsi="仿宋" w:eastAsia="仿宋" w:cs="仿宋"/>
                <w:kern w:val="0"/>
                <w:sz w:val="24"/>
              </w:rPr>
              <w:t>服务对象满意度指标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4ECFAAC6">
            <w:pPr>
              <w:widowControl/>
              <w:jc w:val="center"/>
              <w:textAlignment w:val="center"/>
              <w:rPr>
                <w:rFonts w:ascii="仿宋" w:hAnsi="仿宋" w:eastAsia="仿宋" w:cs="仿宋"/>
                <w:sz w:val="24"/>
              </w:rPr>
            </w:pPr>
            <w:r>
              <w:rPr>
                <w:rFonts w:hint="eastAsia" w:ascii="仿宋" w:hAnsi="仿宋" w:eastAsia="仿宋" w:cs="仿宋"/>
                <w:kern w:val="0"/>
                <w:sz w:val="24"/>
              </w:rPr>
              <w:t>2024年学生营养餐</w:t>
            </w:r>
          </w:p>
        </w:tc>
        <w:tc>
          <w:tcPr>
            <w:tcW w:w="540" w:type="dxa"/>
            <w:tcBorders>
              <w:top w:val="single" w:color="000000" w:sz="4" w:space="0"/>
              <w:left w:val="single" w:color="000000" w:sz="4" w:space="0"/>
              <w:bottom w:val="single" w:color="000000" w:sz="4" w:space="0"/>
              <w:right w:val="single" w:color="000000" w:sz="4" w:space="0"/>
            </w:tcBorders>
            <w:vAlign w:val="center"/>
          </w:tcPr>
          <w:p w14:paraId="1263BED7">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w:t>
            </w:r>
          </w:p>
        </w:tc>
        <w:tc>
          <w:tcPr>
            <w:tcW w:w="855" w:type="dxa"/>
            <w:tcBorders>
              <w:top w:val="single" w:color="000000" w:sz="4" w:space="0"/>
              <w:left w:val="single" w:color="000000" w:sz="4" w:space="0"/>
              <w:bottom w:val="single" w:color="000000" w:sz="4" w:space="0"/>
              <w:right w:val="single" w:color="000000" w:sz="4" w:space="0"/>
            </w:tcBorders>
            <w:vAlign w:val="center"/>
          </w:tcPr>
          <w:p w14:paraId="194B3DBC">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68210</w:t>
            </w:r>
          </w:p>
        </w:tc>
        <w:tc>
          <w:tcPr>
            <w:tcW w:w="540" w:type="dxa"/>
            <w:tcBorders>
              <w:top w:val="single" w:color="000000" w:sz="4" w:space="0"/>
              <w:left w:val="single" w:color="000000" w:sz="4" w:space="0"/>
              <w:bottom w:val="single" w:color="000000" w:sz="4" w:space="0"/>
              <w:right w:val="single" w:color="000000" w:sz="4" w:space="0"/>
            </w:tcBorders>
            <w:vAlign w:val="center"/>
          </w:tcPr>
          <w:p w14:paraId="21C6D49D">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元/年</w:t>
            </w:r>
          </w:p>
        </w:tc>
        <w:tc>
          <w:tcPr>
            <w:tcW w:w="857" w:type="dxa"/>
            <w:tcBorders>
              <w:top w:val="single" w:color="000000" w:sz="4" w:space="0"/>
              <w:left w:val="single" w:color="000000" w:sz="4" w:space="0"/>
              <w:bottom w:val="single" w:color="000000" w:sz="4" w:space="0"/>
              <w:right w:val="single" w:color="000000" w:sz="4" w:space="0"/>
            </w:tcBorders>
            <w:vAlign w:val="center"/>
          </w:tcPr>
          <w:p w14:paraId="3A6CA595">
            <w:pPr>
              <w:widowControl/>
              <w:jc w:val="center"/>
              <w:textAlignment w:val="center"/>
              <w:rPr>
                <w:rFonts w:ascii="仿宋" w:hAnsi="仿宋" w:eastAsia="仿宋" w:cs="仿宋"/>
                <w:i/>
                <w:iCs/>
                <w:color w:val="000000" w:themeColor="text1"/>
                <w:sz w:val="24"/>
              </w:rPr>
            </w:pPr>
            <w:r>
              <w:rPr>
                <w:rFonts w:hint="eastAsia" w:ascii="仿宋" w:hAnsi="仿宋" w:eastAsia="仿宋" w:cs="仿宋"/>
                <w:color w:val="000000" w:themeColor="text1"/>
                <w:kern w:val="0"/>
                <w:sz w:val="24"/>
              </w:rPr>
              <w:t>68210</w:t>
            </w:r>
          </w:p>
        </w:tc>
        <w:tc>
          <w:tcPr>
            <w:tcW w:w="572" w:type="dxa"/>
            <w:tcBorders>
              <w:top w:val="single" w:color="000000" w:sz="4" w:space="0"/>
              <w:left w:val="single" w:color="000000" w:sz="4" w:space="0"/>
              <w:bottom w:val="single" w:color="000000" w:sz="4" w:space="0"/>
              <w:right w:val="single" w:color="000000" w:sz="4" w:space="0"/>
            </w:tcBorders>
            <w:vAlign w:val="center"/>
          </w:tcPr>
          <w:p w14:paraId="2E869863">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10</w:t>
            </w:r>
          </w:p>
        </w:tc>
        <w:tc>
          <w:tcPr>
            <w:tcW w:w="572" w:type="dxa"/>
            <w:tcBorders>
              <w:top w:val="single" w:color="000000" w:sz="4" w:space="0"/>
              <w:left w:val="single" w:color="000000" w:sz="4" w:space="0"/>
              <w:bottom w:val="single" w:color="000000" w:sz="4" w:space="0"/>
              <w:right w:val="single" w:color="000000" w:sz="4" w:space="0"/>
            </w:tcBorders>
            <w:vAlign w:val="center"/>
          </w:tcPr>
          <w:p w14:paraId="7EED4AEC">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10</w:t>
            </w:r>
          </w:p>
        </w:tc>
        <w:tc>
          <w:tcPr>
            <w:tcW w:w="3137" w:type="dxa"/>
            <w:tcBorders>
              <w:top w:val="single" w:color="000000" w:sz="4" w:space="0"/>
              <w:left w:val="single" w:color="000000" w:sz="4" w:space="0"/>
              <w:bottom w:val="single" w:color="000000" w:sz="4" w:space="0"/>
              <w:right w:val="single" w:color="000000" w:sz="4" w:space="0"/>
            </w:tcBorders>
            <w:vAlign w:val="center"/>
          </w:tcPr>
          <w:p w14:paraId="17B957CD">
            <w:pPr>
              <w:widowControl/>
              <w:jc w:val="center"/>
              <w:textAlignment w:val="center"/>
              <w:rPr>
                <w:rFonts w:ascii="仿宋" w:hAnsi="仿宋" w:eastAsia="仿宋" w:cs="仿宋"/>
                <w:i/>
                <w:iCs/>
                <w:sz w:val="24"/>
              </w:rPr>
            </w:pPr>
            <w:r>
              <w:rPr>
                <w:rFonts w:hint="eastAsia" w:ascii="仿宋" w:hAnsi="仿宋" w:eastAsia="仿宋" w:cs="仿宋"/>
                <w:i/>
                <w:iCs/>
                <w:kern w:val="0"/>
                <w:sz w:val="24"/>
              </w:rPr>
              <w:t>2024年秋季学期营养餐采用集中供应，因为询价，供应商未及时提供发票，所以无法转账造成的。</w:t>
            </w:r>
          </w:p>
        </w:tc>
      </w:tr>
      <w:tr w14:paraId="435650D1">
        <w:tblPrEx>
          <w:tblCellMar>
            <w:top w:w="0" w:type="dxa"/>
            <w:left w:w="108" w:type="dxa"/>
            <w:bottom w:w="0" w:type="dxa"/>
            <w:right w:w="108" w:type="dxa"/>
          </w:tblCellMar>
        </w:tblPrEx>
        <w:trPr>
          <w:trHeight w:val="2743" w:hRule="atLeast"/>
        </w:trPr>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75705F62">
            <w:pPr>
              <w:jc w:val="center"/>
              <w:rPr>
                <w:rFonts w:ascii="仿宋" w:hAnsi="仿宋" w:eastAsia="仿宋" w:cs="仿宋"/>
                <w:sz w:val="24"/>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1EBDADDF">
            <w:pPr>
              <w:widowControl/>
              <w:jc w:val="center"/>
              <w:textAlignment w:val="center"/>
              <w:rPr>
                <w:rFonts w:ascii="仿宋" w:hAnsi="仿宋" w:eastAsia="仿宋" w:cs="仿宋"/>
                <w:sz w:val="24"/>
              </w:rPr>
            </w:pPr>
            <w:r>
              <w:rPr>
                <w:rFonts w:hint="eastAsia" w:ascii="仿宋" w:hAnsi="仿宋" w:eastAsia="仿宋" w:cs="仿宋"/>
                <w:kern w:val="0"/>
                <w:sz w:val="24"/>
              </w:rPr>
              <w:t>成本指标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34159CD2">
            <w:pPr>
              <w:widowControl/>
              <w:jc w:val="center"/>
              <w:textAlignment w:val="center"/>
              <w:rPr>
                <w:rFonts w:ascii="仿宋" w:hAnsi="仿宋" w:eastAsia="仿宋" w:cs="仿宋"/>
                <w:sz w:val="24"/>
              </w:rPr>
            </w:pPr>
            <w:r>
              <w:rPr>
                <w:rFonts w:hint="eastAsia" w:ascii="仿宋" w:hAnsi="仿宋" w:eastAsia="仿宋" w:cs="仿宋"/>
                <w:kern w:val="0"/>
                <w:sz w:val="24"/>
              </w:rPr>
              <w:t>经济成本指标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71A2F516">
            <w:pPr>
              <w:widowControl/>
              <w:jc w:val="center"/>
              <w:textAlignment w:val="center"/>
              <w:rPr>
                <w:rFonts w:ascii="仿宋" w:hAnsi="仿宋" w:eastAsia="仿宋" w:cs="仿宋"/>
                <w:sz w:val="24"/>
              </w:rPr>
            </w:pPr>
            <w:r>
              <w:rPr>
                <w:rFonts w:hint="eastAsia" w:ascii="仿宋" w:hAnsi="仿宋" w:eastAsia="仿宋" w:cs="仿宋"/>
                <w:kern w:val="0"/>
                <w:sz w:val="24"/>
              </w:rPr>
              <w:t>2024年学生营养餐</w:t>
            </w:r>
          </w:p>
        </w:tc>
        <w:tc>
          <w:tcPr>
            <w:tcW w:w="540" w:type="dxa"/>
            <w:tcBorders>
              <w:top w:val="single" w:color="000000" w:sz="4" w:space="0"/>
              <w:left w:val="single" w:color="000000" w:sz="4" w:space="0"/>
              <w:bottom w:val="single" w:color="000000" w:sz="4" w:space="0"/>
              <w:right w:val="single" w:color="000000" w:sz="4" w:space="0"/>
            </w:tcBorders>
            <w:vAlign w:val="center"/>
          </w:tcPr>
          <w:p w14:paraId="52EC79DC">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855" w:type="dxa"/>
            <w:tcBorders>
              <w:top w:val="single" w:color="000000" w:sz="4" w:space="0"/>
              <w:left w:val="single" w:color="000000" w:sz="4" w:space="0"/>
              <w:bottom w:val="single" w:color="000000" w:sz="4" w:space="0"/>
              <w:right w:val="single" w:color="000000" w:sz="4" w:space="0"/>
            </w:tcBorders>
            <w:vAlign w:val="center"/>
          </w:tcPr>
          <w:p w14:paraId="3586B684">
            <w:pPr>
              <w:widowControl/>
              <w:jc w:val="center"/>
              <w:textAlignment w:val="center"/>
              <w:rPr>
                <w:rFonts w:ascii="仿宋" w:hAnsi="仿宋" w:eastAsia="仿宋" w:cs="仿宋"/>
                <w:color w:val="C00000"/>
                <w:sz w:val="24"/>
              </w:rPr>
            </w:pPr>
            <w:r>
              <w:rPr>
                <w:rFonts w:hint="eastAsia" w:ascii="仿宋" w:hAnsi="仿宋" w:eastAsia="仿宋" w:cs="仿宋"/>
                <w:kern w:val="0"/>
                <w:sz w:val="24"/>
              </w:rPr>
              <w:t>6.8210</w:t>
            </w:r>
          </w:p>
        </w:tc>
        <w:tc>
          <w:tcPr>
            <w:tcW w:w="540" w:type="dxa"/>
            <w:tcBorders>
              <w:top w:val="single" w:color="000000" w:sz="4" w:space="0"/>
              <w:left w:val="single" w:color="000000" w:sz="4" w:space="0"/>
              <w:bottom w:val="single" w:color="000000" w:sz="4" w:space="0"/>
              <w:right w:val="single" w:color="000000" w:sz="4" w:space="0"/>
            </w:tcBorders>
            <w:vAlign w:val="center"/>
          </w:tcPr>
          <w:p w14:paraId="1C7D670A">
            <w:pPr>
              <w:widowControl/>
              <w:jc w:val="center"/>
              <w:textAlignment w:val="center"/>
              <w:rPr>
                <w:rFonts w:ascii="仿宋" w:hAnsi="仿宋" w:eastAsia="仿宋" w:cs="仿宋"/>
                <w:kern w:val="0"/>
                <w:sz w:val="24"/>
              </w:rPr>
            </w:pPr>
            <w:r>
              <w:rPr>
                <w:rFonts w:hint="eastAsia" w:ascii="仿宋" w:hAnsi="仿宋" w:eastAsia="仿宋" w:cs="仿宋"/>
                <w:kern w:val="0"/>
                <w:sz w:val="24"/>
              </w:rPr>
              <w:t>元/年</w:t>
            </w:r>
          </w:p>
        </w:tc>
        <w:tc>
          <w:tcPr>
            <w:tcW w:w="857" w:type="dxa"/>
            <w:tcBorders>
              <w:top w:val="single" w:color="000000" w:sz="4" w:space="0"/>
              <w:left w:val="single" w:color="000000" w:sz="4" w:space="0"/>
              <w:bottom w:val="single" w:color="000000" w:sz="4" w:space="0"/>
              <w:right w:val="single" w:color="000000" w:sz="4" w:space="0"/>
            </w:tcBorders>
            <w:vAlign w:val="center"/>
          </w:tcPr>
          <w:p w14:paraId="457C5B24">
            <w:pPr>
              <w:widowControl/>
              <w:jc w:val="center"/>
              <w:textAlignment w:val="center"/>
              <w:rPr>
                <w:rFonts w:ascii="仿宋" w:hAnsi="仿宋" w:eastAsia="仿宋" w:cs="仿宋"/>
                <w:kern w:val="0"/>
                <w:sz w:val="24"/>
              </w:rPr>
            </w:pPr>
            <w:r>
              <w:rPr>
                <w:rFonts w:hint="eastAsia" w:ascii="仿宋" w:hAnsi="仿宋" w:eastAsia="仿宋" w:cs="仿宋"/>
                <w:kern w:val="0"/>
                <w:sz w:val="24"/>
              </w:rPr>
              <w:t>68210</w:t>
            </w:r>
          </w:p>
        </w:tc>
        <w:tc>
          <w:tcPr>
            <w:tcW w:w="572" w:type="dxa"/>
            <w:tcBorders>
              <w:top w:val="single" w:color="000000" w:sz="4" w:space="0"/>
              <w:left w:val="single" w:color="000000" w:sz="4" w:space="0"/>
              <w:bottom w:val="single" w:color="000000" w:sz="4" w:space="0"/>
              <w:right w:val="single" w:color="000000" w:sz="4" w:space="0"/>
            </w:tcBorders>
            <w:vAlign w:val="center"/>
          </w:tcPr>
          <w:p w14:paraId="36800BB4">
            <w:pPr>
              <w:widowControl/>
              <w:jc w:val="center"/>
              <w:textAlignment w:val="center"/>
              <w:rPr>
                <w:rFonts w:ascii="仿宋" w:hAnsi="仿宋" w:eastAsia="仿宋" w:cs="仿宋"/>
                <w:kern w:val="0"/>
                <w:sz w:val="24"/>
              </w:rPr>
            </w:pPr>
            <w:r>
              <w:rPr>
                <w:rFonts w:hint="eastAsia" w:ascii="仿宋" w:hAnsi="仿宋" w:eastAsia="仿宋" w:cs="仿宋"/>
                <w:kern w:val="0"/>
                <w:sz w:val="24"/>
              </w:rPr>
              <w:t>20</w:t>
            </w:r>
          </w:p>
        </w:tc>
        <w:tc>
          <w:tcPr>
            <w:tcW w:w="572" w:type="dxa"/>
            <w:tcBorders>
              <w:top w:val="single" w:color="000000" w:sz="4" w:space="0"/>
              <w:left w:val="single" w:color="000000" w:sz="4" w:space="0"/>
              <w:bottom w:val="single" w:color="000000" w:sz="4" w:space="0"/>
              <w:right w:val="single" w:color="000000" w:sz="4" w:space="0"/>
            </w:tcBorders>
            <w:vAlign w:val="center"/>
          </w:tcPr>
          <w:p w14:paraId="07B2B8FE">
            <w:pPr>
              <w:widowControl/>
              <w:jc w:val="center"/>
              <w:textAlignment w:val="center"/>
              <w:rPr>
                <w:rFonts w:ascii="仿宋" w:hAnsi="仿宋" w:eastAsia="仿宋" w:cs="仿宋"/>
                <w:kern w:val="0"/>
                <w:sz w:val="24"/>
              </w:rPr>
            </w:pPr>
            <w:r>
              <w:rPr>
                <w:rFonts w:hint="eastAsia" w:ascii="仿宋" w:hAnsi="仿宋" w:eastAsia="仿宋" w:cs="仿宋"/>
                <w:kern w:val="0"/>
                <w:sz w:val="24"/>
              </w:rPr>
              <w:t>20</w:t>
            </w:r>
          </w:p>
        </w:tc>
        <w:tc>
          <w:tcPr>
            <w:tcW w:w="3137" w:type="dxa"/>
            <w:tcBorders>
              <w:top w:val="single" w:color="000000" w:sz="4" w:space="0"/>
              <w:left w:val="single" w:color="000000" w:sz="4" w:space="0"/>
              <w:bottom w:val="single" w:color="000000" w:sz="4" w:space="0"/>
              <w:right w:val="single" w:color="000000" w:sz="4" w:space="0"/>
            </w:tcBorders>
            <w:vAlign w:val="center"/>
          </w:tcPr>
          <w:p w14:paraId="00BECD86">
            <w:pPr>
              <w:widowControl/>
              <w:jc w:val="center"/>
              <w:textAlignment w:val="center"/>
              <w:rPr>
                <w:rFonts w:ascii="仿宋" w:hAnsi="仿宋" w:eastAsia="仿宋" w:cs="仿宋"/>
                <w:i/>
                <w:iCs/>
                <w:sz w:val="24"/>
              </w:rPr>
            </w:pPr>
            <w:r>
              <w:rPr>
                <w:rFonts w:hint="eastAsia" w:ascii="仿宋" w:hAnsi="仿宋" w:eastAsia="仿宋" w:cs="仿宋"/>
                <w:i/>
                <w:iCs/>
                <w:kern w:val="0"/>
                <w:sz w:val="24"/>
              </w:rPr>
              <w:t>2024年秋季学期营养餐采用集中供应，因为询价，供应商未及时提供发票，所以无法转账造成的。</w:t>
            </w:r>
          </w:p>
        </w:tc>
      </w:tr>
      <w:tr w14:paraId="2CBF3CFA">
        <w:tblPrEx>
          <w:tblCellMar>
            <w:top w:w="0" w:type="dxa"/>
            <w:left w:w="108" w:type="dxa"/>
            <w:bottom w:w="0" w:type="dxa"/>
            <w:right w:w="108" w:type="dxa"/>
          </w:tblCellMar>
        </w:tblPrEx>
        <w:trPr>
          <w:trHeight w:val="285" w:hRule="atLeast"/>
        </w:trPr>
        <w:tc>
          <w:tcPr>
            <w:tcW w:w="6569" w:type="dxa"/>
            <w:gridSpan w:val="8"/>
            <w:tcBorders>
              <w:top w:val="single" w:color="000000" w:sz="4" w:space="0"/>
              <w:left w:val="single" w:color="000000" w:sz="4" w:space="0"/>
              <w:bottom w:val="single" w:color="000000" w:sz="4" w:space="0"/>
              <w:right w:val="single" w:color="000000" w:sz="4" w:space="0"/>
            </w:tcBorders>
            <w:vAlign w:val="center"/>
          </w:tcPr>
          <w:p w14:paraId="76C95FD3">
            <w:pPr>
              <w:widowControl/>
              <w:jc w:val="center"/>
              <w:textAlignment w:val="center"/>
              <w:rPr>
                <w:rFonts w:ascii="仿宋" w:hAnsi="仿宋" w:eastAsia="仿宋" w:cs="仿宋"/>
                <w:sz w:val="24"/>
              </w:rPr>
            </w:pPr>
            <w:r>
              <w:rPr>
                <w:rFonts w:hint="eastAsia" w:ascii="仿宋" w:hAnsi="仿宋" w:eastAsia="仿宋" w:cs="仿宋"/>
                <w:kern w:val="0"/>
                <w:sz w:val="24"/>
              </w:rPr>
              <w:t>合计</w:t>
            </w:r>
          </w:p>
        </w:tc>
        <w:tc>
          <w:tcPr>
            <w:tcW w:w="572" w:type="dxa"/>
            <w:tcBorders>
              <w:top w:val="single" w:color="000000" w:sz="4" w:space="0"/>
              <w:left w:val="single" w:color="000000" w:sz="4" w:space="0"/>
              <w:bottom w:val="single" w:color="000000" w:sz="4" w:space="0"/>
              <w:right w:val="single" w:color="000000" w:sz="4" w:space="0"/>
            </w:tcBorders>
            <w:vAlign w:val="center"/>
          </w:tcPr>
          <w:p w14:paraId="5C67E40B">
            <w:pPr>
              <w:widowControl/>
              <w:jc w:val="center"/>
              <w:textAlignment w:val="center"/>
              <w:rPr>
                <w:rFonts w:ascii="仿宋" w:hAnsi="仿宋" w:eastAsia="仿宋" w:cs="仿宋"/>
                <w:sz w:val="24"/>
              </w:rPr>
            </w:pPr>
            <w:r>
              <w:rPr>
                <w:rFonts w:hint="eastAsia" w:ascii="仿宋" w:hAnsi="仿宋" w:eastAsia="仿宋" w:cs="仿宋"/>
                <w:kern w:val="0"/>
                <w:sz w:val="24"/>
              </w:rPr>
              <w:t>100</w:t>
            </w:r>
          </w:p>
        </w:tc>
        <w:tc>
          <w:tcPr>
            <w:tcW w:w="572" w:type="dxa"/>
            <w:tcBorders>
              <w:top w:val="single" w:color="000000" w:sz="4" w:space="0"/>
              <w:left w:val="single" w:color="000000" w:sz="4" w:space="0"/>
              <w:bottom w:val="single" w:color="000000" w:sz="4" w:space="0"/>
              <w:right w:val="single" w:color="000000" w:sz="4" w:space="0"/>
            </w:tcBorders>
            <w:vAlign w:val="center"/>
          </w:tcPr>
          <w:p w14:paraId="0190DFC1">
            <w:pPr>
              <w:widowControl/>
              <w:jc w:val="right"/>
              <w:textAlignment w:val="center"/>
              <w:rPr>
                <w:rFonts w:ascii="仿宋" w:hAnsi="仿宋" w:eastAsia="仿宋" w:cs="仿宋"/>
                <w:sz w:val="24"/>
              </w:rPr>
            </w:pPr>
            <w:r>
              <w:rPr>
                <w:rFonts w:hint="eastAsia" w:ascii="仿宋" w:hAnsi="仿宋" w:eastAsia="仿宋" w:cs="仿宋"/>
                <w:kern w:val="0"/>
                <w:sz w:val="24"/>
              </w:rPr>
              <w:t>100</w:t>
            </w:r>
          </w:p>
        </w:tc>
        <w:tc>
          <w:tcPr>
            <w:tcW w:w="3137" w:type="dxa"/>
            <w:tcBorders>
              <w:top w:val="single" w:color="000000" w:sz="4" w:space="0"/>
              <w:left w:val="single" w:color="000000" w:sz="4" w:space="0"/>
              <w:bottom w:val="single" w:color="000000" w:sz="4" w:space="0"/>
              <w:right w:val="single" w:color="000000" w:sz="4" w:space="0"/>
            </w:tcBorders>
            <w:vAlign w:val="center"/>
          </w:tcPr>
          <w:p w14:paraId="7A68AAFE">
            <w:pPr>
              <w:rPr>
                <w:rFonts w:ascii="仿宋" w:hAnsi="仿宋" w:eastAsia="仿宋" w:cs="仿宋"/>
                <w:sz w:val="24"/>
              </w:rPr>
            </w:pPr>
          </w:p>
        </w:tc>
      </w:tr>
      <w:tr w14:paraId="7BC0B8F5">
        <w:tblPrEx>
          <w:tblCellMar>
            <w:top w:w="0" w:type="dxa"/>
            <w:left w:w="108" w:type="dxa"/>
            <w:bottom w:w="0" w:type="dxa"/>
            <w:right w:w="108" w:type="dxa"/>
          </w:tblCellMar>
        </w:tblPrEx>
        <w:trPr>
          <w:trHeight w:val="604" w:hRule="atLeast"/>
        </w:trPr>
        <w:tc>
          <w:tcPr>
            <w:tcW w:w="1053" w:type="dxa"/>
            <w:tcBorders>
              <w:top w:val="single" w:color="000000" w:sz="4" w:space="0"/>
              <w:left w:val="single" w:color="000000" w:sz="4" w:space="0"/>
              <w:bottom w:val="single" w:color="000000" w:sz="4" w:space="0"/>
              <w:right w:val="single" w:color="000000" w:sz="4" w:space="0"/>
            </w:tcBorders>
            <w:vAlign w:val="center"/>
          </w:tcPr>
          <w:p w14:paraId="6CF0C136">
            <w:pPr>
              <w:widowControl/>
              <w:jc w:val="center"/>
              <w:textAlignment w:val="center"/>
              <w:rPr>
                <w:rFonts w:ascii="仿宋" w:hAnsi="仿宋" w:eastAsia="仿宋" w:cs="仿宋"/>
                <w:sz w:val="24"/>
              </w:rPr>
            </w:pPr>
            <w:r>
              <w:rPr>
                <w:rFonts w:hint="eastAsia" w:ascii="仿宋" w:hAnsi="仿宋" w:eastAsia="仿宋" w:cs="仿宋"/>
                <w:kern w:val="0"/>
                <w:sz w:val="24"/>
              </w:rPr>
              <w:t>评价结论</w:t>
            </w:r>
          </w:p>
        </w:tc>
        <w:tc>
          <w:tcPr>
            <w:tcW w:w="9797" w:type="dxa"/>
            <w:gridSpan w:val="10"/>
            <w:tcBorders>
              <w:top w:val="single" w:color="000000" w:sz="4" w:space="0"/>
              <w:left w:val="single" w:color="000000" w:sz="4" w:space="0"/>
              <w:bottom w:val="single" w:color="000000" w:sz="4" w:space="0"/>
              <w:right w:val="single" w:color="000000" w:sz="4" w:space="0"/>
            </w:tcBorders>
            <w:vAlign w:val="center"/>
          </w:tcPr>
          <w:p w14:paraId="00BA52AF">
            <w:pPr>
              <w:widowControl/>
              <w:jc w:val="left"/>
              <w:textAlignment w:val="center"/>
              <w:rPr>
                <w:rFonts w:ascii="仿宋" w:hAnsi="仿宋" w:eastAsia="仿宋" w:cs="仿宋"/>
                <w:i/>
                <w:iCs/>
                <w:sz w:val="24"/>
              </w:rPr>
            </w:pPr>
            <w:r>
              <w:rPr>
                <w:rFonts w:hint="eastAsia" w:ascii="仿宋" w:hAnsi="仿宋" w:eastAsia="仿宋" w:cs="仿宋"/>
                <w:i/>
                <w:iCs/>
                <w:kern w:val="0"/>
                <w:sz w:val="24"/>
              </w:rPr>
              <w:t>是办人民满意教育的需要，是实现义务教育均衡的需要。</w:t>
            </w:r>
          </w:p>
        </w:tc>
      </w:tr>
      <w:tr w14:paraId="0338FB1E">
        <w:tblPrEx>
          <w:tblCellMar>
            <w:top w:w="0" w:type="dxa"/>
            <w:left w:w="108" w:type="dxa"/>
            <w:bottom w:w="0" w:type="dxa"/>
            <w:right w:w="108" w:type="dxa"/>
          </w:tblCellMar>
        </w:tblPrEx>
        <w:trPr>
          <w:trHeight w:val="574" w:hRule="atLeast"/>
        </w:trPr>
        <w:tc>
          <w:tcPr>
            <w:tcW w:w="1053" w:type="dxa"/>
            <w:tcBorders>
              <w:top w:val="single" w:color="000000" w:sz="4" w:space="0"/>
              <w:left w:val="single" w:color="000000" w:sz="4" w:space="0"/>
              <w:bottom w:val="single" w:color="000000" w:sz="4" w:space="0"/>
              <w:right w:val="single" w:color="000000" w:sz="4" w:space="0"/>
            </w:tcBorders>
            <w:vAlign w:val="center"/>
          </w:tcPr>
          <w:p w14:paraId="7EFE84E7">
            <w:pPr>
              <w:widowControl/>
              <w:jc w:val="center"/>
              <w:textAlignment w:val="center"/>
              <w:rPr>
                <w:rFonts w:ascii="仿宋" w:hAnsi="仿宋" w:eastAsia="仿宋" w:cs="仿宋"/>
                <w:sz w:val="24"/>
              </w:rPr>
            </w:pPr>
            <w:r>
              <w:rPr>
                <w:rFonts w:hint="eastAsia" w:ascii="仿宋" w:hAnsi="仿宋" w:eastAsia="仿宋" w:cs="仿宋"/>
                <w:kern w:val="0"/>
                <w:sz w:val="24"/>
              </w:rPr>
              <w:t>存在问题</w:t>
            </w:r>
          </w:p>
        </w:tc>
        <w:tc>
          <w:tcPr>
            <w:tcW w:w="9797" w:type="dxa"/>
            <w:gridSpan w:val="10"/>
            <w:tcBorders>
              <w:top w:val="single" w:color="000000" w:sz="4" w:space="0"/>
              <w:left w:val="single" w:color="000000" w:sz="4" w:space="0"/>
              <w:bottom w:val="single" w:color="000000" w:sz="4" w:space="0"/>
              <w:right w:val="single" w:color="000000" w:sz="4" w:space="0"/>
            </w:tcBorders>
            <w:vAlign w:val="center"/>
          </w:tcPr>
          <w:p w14:paraId="24AC5160">
            <w:pPr>
              <w:widowControl/>
              <w:jc w:val="left"/>
              <w:textAlignment w:val="center"/>
              <w:rPr>
                <w:rFonts w:ascii="仿宋" w:hAnsi="仿宋" w:eastAsia="仿宋" w:cs="仿宋"/>
                <w:i/>
                <w:iCs/>
                <w:sz w:val="24"/>
              </w:rPr>
            </w:pPr>
            <w:r>
              <w:rPr>
                <w:rFonts w:hint="eastAsia" w:ascii="仿宋" w:hAnsi="仿宋" w:eastAsia="仿宋" w:cs="仿宋"/>
                <w:i/>
                <w:iCs/>
                <w:kern w:val="0"/>
                <w:sz w:val="24"/>
              </w:rPr>
              <w:t>2024年秋季学期营养餐采用集中供应，因为询价，供应商未及时提供发票，所以无法转账造成的。</w:t>
            </w:r>
          </w:p>
        </w:tc>
      </w:tr>
      <w:tr w14:paraId="11A8B2FE">
        <w:tblPrEx>
          <w:tblCellMar>
            <w:top w:w="0" w:type="dxa"/>
            <w:left w:w="108" w:type="dxa"/>
            <w:bottom w:w="0" w:type="dxa"/>
            <w:right w:w="108" w:type="dxa"/>
          </w:tblCellMar>
        </w:tblPrEx>
        <w:trPr>
          <w:trHeight w:val="634" w:hRule="atLeast"/>
        </w:trPr>
        <w:tc>
          <w:tcPr>
            <w:tcW w:w="1053" w:type="dxa"/>
            <w:tcBorders>
              <w:top w:val="single" w:color="000000" w:sz="4" w:space="0"/>
              <w:left w:val="single" w:color="000000" w:sz="4" w:space="0"/>
              <w:bottom w:val="single" w:color="000000" w:sz="4" w:space="0"/>
              <w:right w:val="single" w:color="000000" w:sz="4" w:space="0"/>
            </w:tcBorders>
            <w:vAlign w:val="center"/>
          </w:tcPr>
          <w:p w14:paraId="03AE6216">
            <w:pPr>
              <w:widowControl/>
              <w:jc w:val="center"/>
              <w:textAlignment w:val="center"/>
              <w:rPr>
                <w:rFonts w:ascii="仿宋" w:hAnsi="仿宋" w:eastAsia="仿宋" w:cs="仿宋"/>
                <w:sz w:val="24"/>
              </w:rPr>
            </w:pPr>
            <w:r>
              <w:rPr>
                <w:rFonts w:hint="eastAsia" w:ascii="仿宋" w:hAnsi="仿宋" w:eastAsia="仿宋" w:cs="仿宋"/>
                <w:kern w:val="0"/>
                <w:sz w:val="24"/>
              </w:rPr>
              <w:t>改进措施</w:t>
            </w:r>
          </w:p>
        </w:tc>
        <w:tc>
          <w:tcPr>
            <w:tcW w:w="9797" w:type="dxa"/>
            <w:gridSpan w:val="10"/>
            <w:tcBorders>
              <w:top w:val="single" w:color="000000" w:sz="4" w:space="0"/>
              <w:left w:val="single" w:color="000000" w:sz="4" w:space="0"/>
              <w:bottom w:val="single" w:color="000000" w:sz="4" w:space="0"/>
              <w:right w:val="single" w:color="000000" w:sz="4" w:space="0"/>
            </w:tcBorders>
            <w:vAlign w:val="center"/>
          </w:tcPr>
          <w:p w14:paraId="254F008B">
            <w:pPr>
              <w:widowControl/>
              <w:jc w:val="left"/>
              <w:textAlignment w:val="center"/>
              <w:rPr>
                <w:rFonts w:ascii="仿宋" w:hAnsi="仿宋" w:eastAsia="仿宋" w:cs="仿宋"/>
                <w:i/>
                <w:iCs/>
                <w:sz w:val="24"/>
              </w:rPr>
            </w:pPr>
            <w:r>
              <w:rPr>
                <w:rFonts w:hint="eastAsia" w:ascii="仿宋" w:hAnsi="仿宋" w:eastAsia="仿宋" w:cs="仿宋"/>
                <w:i/>
                <w:iCs/>
                <w:kern w:val="0"/>
                <w:sz w:val="24"/>
              </w:rPr>
              <w:t>无</w:t>
            </w:r>
          </w:p>
        </w:tc>
      </w:tr>
      <w:tr w14:paraId="75280163">
        <w:tblPrEx>
          <w:tblCellMar>
            <w:top w:w="0" w:type="dxa"/>
            <w:left w:w="108" w:type="dxa"/>
            <w:bottom w:w="0" w:type="dxa"/>
            <w:right w:w="108" w:type="dxa"/>
          </w:tblCellMar>
        </w:tblPrEx>
        <w:trPr>
          <w:trHeight w:val="285" w:hRule="atLeast"/>
        </w:trPr>
        <w:tc>
          <w:tcPr>
            <w:tcW w:w="4317" w:type="dxa"/>
            <w:gridSpan w:val="5"/>
            <w:tcBorders>
              <w:top w:val="single" w:color="000000" w:sz="4" w:space="0"/>
              <w:left w:val="single" w:color="000000" w:sz="4" w:space="0"/>
              <w:bottom w:val="single" w:color="000000" w:sz="4" w:space="0"/>
              <w:right w:val="single" w:color="000000" w:sz="4" w:space="0"/>
            </w:tcBorders>
            <w:vAlign w:val="center"/>
          </w:tcPr>
          <w:p w14:paraId="3CA7B0A9">
            <w:pPr>
              <w:widowControl/>
              <w:jc w:val="left"/>
              <w:textAlignment w:val="center"/>
              <w:rPr>
                <w:rFonts w:ascii="仿宋" w:hAnsi="仿宋" w:eastAsia="仿宋" w:cs="仿宋"/>
                <w:sz w:val="24"/>
              </w:rPr>
            </w:pPr>
            <w:r>
              <w:rPr>
                <w:rFonts w:hint="eastAsia" w:ascii="仿宋" w:hAnsi="仿宋" w:eastAsia="仿宋" w:cs="仿宋"/>
                <w:kern w:val="0"/>
                <w:sz w:val="24"/>
              </w:rPr>
              <w:t>项目负责人：唐春燕</w:t>
            </w:r>
          </w:p>
        </w:tc>
        <w:tc>
          <w:tcPr>
            <w:tcW w:w="6533" w:type="dxa"/>
            <w:gridSpan w:val="6"/>
            <w:tcBorders>
              <w:top w:val="single" w:color="000000" w:sz="4" w:space="0"/>
              <w:left w:val="single" w:color="000000" w:sz="4" w:space="0"/>
              <w:bottom w:val="single" w:color="000000" w:sz="4" w:space="0"/>
              <w:right w:val="single" w:color="000000" w:sz="4" w:space="0"/>
            </w:tcBorders>
            <w:vAlign w:val="center"/>
          </w:tcPr>
          <w:p w14:paraId="79FB6565">
            <w:pPr>
              <w:widowControl/>
              <w:jc w:val="left"/>
              <w:textAlignment w:val="center"/>
              <w:rPr>
                <w:rFonts w:ascii="仿宋" w:hAnsi="仿宋" w:eastAsia="仿宋" w:cs="仿宋"/>
                <w:sz w:val="24"/>
              </w:rPr>
            </w:pPr>
            <w:r>
              <w:rPr>
                <w:rFonts w:hint="eastAsia" w:ascii="仿宋" w:hAnsi="仿宋" w:eastAsia="仿宋" w:cs="仿宋"/>
                <w:kern w:val="0"/>
                <w:sz w:val="24"/>
              </w:rPr>
              <w:t>财务负责人：赵玉花</w:t>
            </w:r>
          </w:p>
        </w:tc>
      </w:tr>
    </w:tbl>
    <w:p w14:paraId="09C65F0E">
      <w:pPr>
        <w:pStyle w:val="9"/>
        <w:spacing w:before="93"/>
        <w:rPr>
          <w:rFonts w:ascii="Times New Roman" w:cs="宋体"/>
          <w:color w:val="FF0000"/>
          <w:sz w:val="32"/>
          <w:szCs w:val="32"/>
          <w:highlight w:val="yellow"/>
          <w:shd w:val="clear" w:color="auto" w:fill="FFFFFF"/>
          <w:lang w:val="zh-CN"/>
        </w:rPr>
      </w:pPr>
    </w:p>
    <w:p w14:paraId="2AD13B6F">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2BE4FB35">
      <w:pPr>
        <w:pStyle w:val="9"/>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5426672E">
      <w:pPr>
        <w:pStyle w:val="40"/>
        <w:spacing w:line="578" w:lineRule="exact"/>
        <w:jc w:val="center"/>
        <w:rPr>
          <w:rFonts w:ascii="Times New Roman" w:hAnsi="Times New Roman" w:eastAsia="方正小标宋简体" w:cs="方正小标宋简体"/>
          <w:color w:val="auto"/>
          <w:kern w:val="2"/>
          <w:sz w:val="44"/>
          <w:szCs w:val="44"/>
          <w:lang w:val="en-US"/>
        </w:rPr>
      </w:pPr>
    </w:p>
    <w:p w14:paraId="269E4857">
      <w:pPr>
        <w:pStyle w:val="40"/>
        <w:spacing w:line="578" w:lineRule="exact"/>
        <w:ind w:firstLine="1928" w:firstLineChars="600"/>
        <w:rPr>
          <w:rFonts w:ascii="黑体" w:hAnsi="黑体" w:eastAsia="黑体" w:cs="方正小标宋简体"/>
          <w:b/>
          <w:bCs/>
          <w:color w:val="auto"/>
          <w:kern w:val="2"/>
          <w:sz w:val="32"/>
          <w:szCs w:val="32"/>
          <w:lang w:val="en-US"/>
        </w:rPr>
      </w:pPr>
      <w:r>
        <w:rPr>
          <w:rFonts w:hint="eastAsia" w:ascii="黑体" w:hAnsi="黑体" w:eastAsia="黑体" w:cs="方正小标宋简体"/>
          <w:b/>
          <w:bCs/>
          <w:color w:val="auto"/>
          <w:kern w:val="2"/>
          <w:sz w:val="32"/>
          <w:szCs w:val="32"/>
          <w:lang w:val="en-US"/>
        </w:rPr>
        <w:t>江林小学农村学校营养餐保障计划</w:t>
      </w:r>
    </w:p>
    <w:p w14:paraId="45B11C6B">
      <w:pPr>
        <w:pStyle w:val="40"/>
        <w:spacing w:line="578" w:lineRule="exact"/>
        <w:ind w:firstLine="3213" w:firstLineChars="1000"/>
        <w:rPr>
          <w:rFonts w:ascii="黑体" w:hAnsi="黑体" w:eastAsia="黑体" w:cs="方正小标宋简体"/>
          <w:b/>
          <w:bCs/>
          <w:color w:val="auto"/>
          <w:kern w:val="2"/>
          <w:sz w:val="32"/>
          <w:szCs w:val="32"/>
          <w:lang w:val="en-US"/>
        </w:rPr>
      </w:pPr>
      <w:r>
        <w:rPr>
          <w:rFonts w:hint="eastAsia" w:ascii="黑体" w:hAnsi="黑体" w:eastAsia="黑体" w:cs="方正小标宋简体"/>
          <w:b/>
          <w:bCs/>
          <w:color w:val="auto"/>
          <w:kern w:val="2"/>
          <w:sz w:val="32"/>
          <w:szCs w:val="32"/>
          <w:lang w:val="en-US"/>
        </w:rPr>
        <w:t>绩效评估报告</w:t>
      </w:r>
    </w:p>
    <w:p w14:paraId="236C1C5A">
      <w:pPr>
        <w:pStyle w:val="40"/>
        <w:spacing w:line="578" w:lineRule="exact"/>
        <w:ind w:firstLine="640"/>
        <w:jc w:val="center"/>
        <w:rPr>
          <w:rFonts w:ascii="Times New Roman" w:hAnsi="Times New Roman"/>
          <w:color w:val="auto"/>
          <w:kern w:val="2"/>
          <w:sz w:val="32"/>
          <w:szCs w:val="32"/>
        </w:rPr>
      </w:pPr>
    </w:p>
    <w:p w14:paraId="7F978CC7">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271FA94C">
      <w:pPr>
        <w:adjustRightInd w:val="0"/>
        <w:snapToGrid w:val="0"/>
        <w:spacing w:line="578"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（一）设立背景及基本情况。</w:t>
      </w:r>
    </w:p>
    <w:p w14:paraId="1FC4BF05">
      <w:pPr>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为了进一步改善农村中小学生营养状况，提高农村学生健康水平，加快农村教育发展，促进教育公平，解决贫困地区教育现状，满足农村教育发展的需要，根据《国家中长期教育改革和发展规划纲要（2010——2020年）》以及《农村义务教育学生营养改善计划实施细则》《四川省城乡义务教育补助经费管理办法》等文件精神，为了提高学生健康水平，增强青少年身体素质的客观需求，农村义务教育学生营养膳食补助标准为5元／人.天，按190天提供补助。</w:t>
      </w:r>
    </w:p>
    <w:p w14:paraId="0A922EFB">
      <w:pPr>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学校营养餐采用的是“营养早餐”模式，所需的米、面、粮、油等干货、肉制品、蔬菜都由公开招标胜出的中标商定点供应，学校与中标商按“一年一签”的方式签订供货合同，购货所需经费由学校财务通过转账方式与对方结算。</w:t>
      </w:r>
    </w:p>
    <w:p w14:paraId="2C145AB0">
      <w:pPr>
        <w:adjustRightInd w:val="0"/>
        <w:snapToGrid w:val="0"/>
        <w:spacing w:line="578" w:lineRule="exact"/>
        <w:ind w:firstLine="720"/>
        <w:rPr>
          <w:rFonts w:ascii="仿宋" w:hAnsi="仿宋" w:eastAsia="仿宋" w:cs="仿宋"/>
          <w:b/>
          <w:bCs/>
          <w:kern w:val="0"/>
          <w:sz w:val="32"/>
          <w:szCs w:val="32"/>
        </w:rPr>
      </w:pPr>
      <w:r>
        <w:rPr>
          <w:rFonts w:hint="eastAsia" w:ascii="仿宋" w:hAnsi="仿宋" w:eastAsia="仿宋" w:cs="仿宋"/>
          <w:b/>
          <w:bCs/>
          <w:kern w:val="0"/>
          <w:sz w:val="32"/>
          <w:szCs w:val="32"/>
        </w:rPr>
        <w:t>（二）实施目的及支持方向。</w:t>
      </w:r>
    </w:p>
    <w:p w14:paraId="4E539CDE">
      <w:pPr>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 进一步改善农村学生营养状况，提高学生健康水平，增强青少年身体素质，加快农村教育发展，促进教育公平。</w:t>
      </w:r>
    </w:p>
    <w:p w14:paraId="10BAA99D">
      <w:pPr>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 减轻家庭负担，促进教育公平。</w:t>
      </w:r>
    </w:p>
    <w:p w14:paraId="17807A15">
      <w:pPr>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3．学生营养餐分析评价申报内容是与实际相符，申报目标合理可行。</w:t>
      </w:r>
    </w:p>
    <w:p w14:paraId="7A4BCAD4">
      <w:pPr>
        <w:adjustRightInd w:val="0"/>
        <w:snapToGrid w:val="0"/>
        <w:spacing w:line="578" w:lineRule="exact"/>
        <w:ind w:firstLine="720"/>
        <w:rPr>
          <w:rFonts w:ascii="仿宋" w:hAnsi="仿宋" w:eastAsia="仿宋" w:cs="仿宋"/>
          <w:b/>
          <w:bCs/>
          <w:kern w:val="0"/>
          <w:sz w:val="32"/>
          <w:szCs w:val="32"/>
        </w:rPr>
      </w:pPr>
      <w:r>
        <w:rPr>
          <w:rFonts w:hint="eastAsia" w:ascii="仿宋" w:hAnsi="仿宋" w:eastAsia="仿宋" w:cs="仿宋"/>
          <w:b/>
          <w:bCs/>
          <w:kern w:val="0"/>
          <w:sz w:val="32"/>
          <w:szCs w:val="32"/>
        </w:rPr>
        <w:t>（三）预算安排及分配管理。</w:t>
      </w:r>
    </w:p>
    <w:p w14:paraId="6FD9B1E1">
      <w:pPr>
        <w:adjustRightInd w:val="0"/>
        <w:snapToGrid w:val="0"/>
        <w:spacing w:line="578" w:lineRule="exact"/>
        <w:ind w:firstLine="720"/>
        <w:rPr>
          <w:rFonts w:ascii="仿宋" w:hAnsi="仿宋" w:eastAsia="仿宋" w:cs="仿宋"/>
          <w:kern w:val="0"/>
          <w:sz w:val="32"/>
          <w:szCs w:val="32"/>
        </w:rPr>
      </w:pPr>
      <w:r>
        <w:rPr>
          <w:rFonts w:hint="eastAsia" w:ascii="仿宋" w:hAnsi="仿宋" w:eastAsia="仿宋" w:cs="仿宋"/>
          <w:kern w:val="0"/>
          <w:sz w:val="32"/>
          <w:szCs w:val="32"/>
        </w:rPr>
        <w:t>学校成立了以李尧奇校长为组长的“学生营养改善计划”实施领导小组，由总务主任唐春燕为副组长食堂管理员张利容，各班主任以及相关责任人员为成员的“营养计划”工作领导小组。各成员分工明确，责任到人；同时我校成立了由家长、学生、教师代表共同的组成的营养餐改善计划监督小组，设置了监督举报电话，广泛接受社会监督。学校建立健全了食品安全管理制度，制定食品安全事故应急预案，并重新装框上墙，相关人员明确责任，深刻理解、认真实施；学校与食堂从业人员签订了安全目标责任书，落实责任，明确职责。</w:t>
      </w:r>
    </w:p>
    <w:p w14:paraId="206D0E25">
      <w:pPr>
        <w:adjustRightInd w:val="0"/>
        <w:snapToGrid w:val="0"/>
        <w:spacing w:line="578" w:lineRule="exact"/>
        <w:ind w:left="420" w:leftChars="200"/>
        <w:rPr>
          <w:rFonts w:ascii="仿宋" w:hAnsi="仿宋" w:eastAsia="仿宋" w:cs="仿宋"/>
          <w:b/>
          <w:bCs/>
          <w:kern w:val="0"/>
          <w:sz w:val="32"/>
          <w:szCs w:val="32"/>
        </w:rPr>
      </w:pPr>
      <w:r>
        <w:rPr>
          <w:rFonts w:hint="eastAsia" w:ascii="仿宋" w:hAnsi="仿宋" w:eastAsia="仿宋" w:cs="仿宋"/>
          <w:b/>
          <w:bCs/>
          <w:kern w:val="0"/>
          <w:sz w:val="32"/>
          <w:szCs w:val="32"/>
        </w:rPr>
        <w:t>（四）项目绩效目标设置。</w:t>
      </w:r>
    </w:p>
    <w:p w14:paraId="79DA3698">
      <w:pPr>
        <w:jc w:val="left"/>
        <w:rPr>
          <w:rFonts w:ascii="仿宋" w:hAnsi="仿宋" w:eastAsia="仿宋" w:cs="仿宋"/>
          <w:kern w:val="0"/>
          <w:sz w:val="32"/>
          <w:szCs w:val="32"/>
        </w:rPr>
      </w:pPr>
      <w:r>
        <w:rPr>
          <w:rFonts w:hint="eastAsia" w:ascii="仿宋" w:hAnsi="仿宋" w:eastAsia="仿宋" w:cs="仿宋"/>
          <w:kern w:val="0"/>
          <w:sz w:val="32"/>
          <w:szCs w:val="32"/>
        </w:rPr>
        <w:t xml:space="preserve">  学校自从实施“营养午餐”以来，要求食堂工作人员早上8点到食堂为学生准备午餐，以确保学生能在早上12点00分陆续就餐，同时总务处制定了一系列的管理制度并加强监管，防止食品卫生安全事故的发生，确保“学生营养改善计划”的有效落实。另外，学校因营养早餐所产生的水、电、气等日常运行经费均纳入学校公用经费开支，确保给在校学生提供等值的优质食品。</w:t>
      </w:r>
    </w:p>
    <w:p w14:paraId="752D3275">
      <w:pPr>
        <w:ind w:firstLine="570"/>
        <w:jc w:val="left"/>
        <w:rPr>
          <w:rFonts w:ascii="仿宋" w:hAnsi="仿宋" w:eastAsia="仿宋" w:cs="仿宋"/>
          <w:kern w:val="0"/>
          <w:sz w:val="32"/>
          <w:szCs w:val="32"/>
        </w:rPr>
      </w:pPr>
      <w:r>
        <w:rPr>
          <w:rFonts w:hint="eastAsia" w:ascii="仿宋" w:hAnsi="仿宋" w:eastAsia="仿宋" w:cs="仿宋"/>
          <w:kern w:val="0"/>
          <w:sz w:val="32"/>
          <w:szCs w:val="32"/>
        </w:rPr>
        <w:t>通过该项目的实施，保障了学区内进一步改善农村学生营养状况，提高农村学生健康水平，减轻学生家庭负担，加快农村教育发展，促进教育公平。</w:t>
      </w:r>
    </w:p>
    <w:p w14:paraId="3246F101">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2D94A657">
      <w:pPr>
        <w:adjustRightInd w:val="0"/>
        <w:snapToGrid w:val="0"/>
        <w:spacing w:line="578" w:lineRule="exact"/>
        <w:ind w:firstLine="720"/>
        <w:rPr>
          <w:rFonts w:ascii="仿宋" w:hAnsi="仿宋" w:eastAsia="仿宋" w:cs="仿宋"/>
          <w:b/>
          <w:bCs/>
          <w:kern w:val="0"/>
          <w:sz w:val="32"/>
          <w:szCs w:val="32"/>
        </w:rPr>
      </w:pPr>
      <w:r>
        <w:rPr>
          <w:rFonts w:hint="eastAsia" w:ascii="仿宋" w:hAnsi="仿宋" w:eastAsia="仿宋" w:cs="仿宋"/>
          <w:b/>
          <w:bCs/>
          <w:kern w:val="0"/>
          <w:sz w:val="32"/>
          <w:szCs w:val="32"/>
        </w:rPr>
        <w:t>（一）评价目的。</w:t>
      </w:r>
    </w:p>
    <w:p w14:paraId="6F069C57">
      <w:pPr>
        <w:adjustRightInd w:val="0"/>
        <w:snapToGrid w:val="0"/>
        <w:spacing w:line="578" w:lineRule="exact"/>
        <w:ind w:firstLine="720"/>
        <w:rPr>
          <w:rFonts w:ascii="仿宋" w:hAnsi="仿宋" w:eastAsia="仿宋" w:cs="仿宋"/>
          <w:kern w:val="0"/>
          <w:sz w:val="32"/>
          <w:szCs w:val="32"/>
        </w:rPr>
      </w:pPr>
      <w:r>
        <w:rPr>
          <w:rFonts w:hint="eastAsia" w:ascii="仿宋" w:hAnsi="仿宋" w:eastAsia="仿宋" w:cs="仿宋"/>
          <w:kern w:val="0"/>
          <w:sz w:val="32"/>
          <w:szCs w:val="32"/>
        </w:rPr>
        <w:t xml:space="preserve"> 为了提高学生健康水平，增强青少年身体素质的客观需求，农村义务教育学生营养膳食补助标准为5元／人.天，190天的标准分级承担。2024年底江林小学有学生359人，按区级财政配套资金标准，区级财政需配套资金1元乘359人乘190天=6.8210万元。 已经在年初预算中安排到位。   </w:t>
      </w:r>
    </w:p>
    <w:p w14:paraId="451F547A">
      <w:pPr>
        <w:adjustRightInd w:val="0"/>
        <w:snapToGrid w:val="0"/>
        <w:spacing w:line="578" w:lineRule="exact"/>
        <w:ind w:firstLine="720"/>
        <w:rPr>
          <w:rFonts w:ascii="仿宋" w:hAnsi="仿宋" w:eastAsia="仿宋" w:cs="仿宋"/>
          <w:b/>
          <w:bCs/>
          <w:kern w:val="0"/>
          <w:sz w:val="32"/>
          <w:szCs w:val="32"/>
        </w:rPr>
      </w:pPr>
      <w:r>
        <w:rPr>
          <w:rFonts w:hint="eastAsia" w:ascii="仿宋" w:hAnsi="仿宋" w:eastAsia="仿宋" w:cs="仿宋"/>
          <w:b/>
          <w:bCs/>
          <w:kern w:val="0"/>
          <w:sz w:val="32"/>
          <w:szCs w:val="32"/>
        </w:rPr>
        <w:t>（二）预设问题及评价重点。</w:t>
      </w:r>
    </w:p>
    <w:p w14:paraId="5671AC3C">
      <w:pPr>
        <w:widowControl/>
        <w:adjustRightInd w:val="0"/>
        <w:snapToGrid w:val="0"/>
        <w:spacing w:line="578" w:lineRule="exact"/>
        <w:ind w:firstLine="640" w:firstLineChars="200"/>
        <w:contextualSpacing/>
        <w:jc w:val="left"/>
        <w:rPr>
          <w:rFonts w:ascii="仿宋" w:hAnsi="仿宋" w:eastAsia="仿宋" w:cs="仿宋"/>
          <w:color w:val="C00000"/>
          <w:kern w:val="0"/>
          <w:sz w:val="32"/>
          <w:szCs w:val="32"/>
        </w:rPr>
      </w:pPr>
      <w:r>
        <w:rPr>
          <w:rFonts w:hint="eastAsia" w:ascii="仿宋" w:hAnsi="仿宋" w:eastAsia="仿宋" w:cs="仿宋"/>
          <w:kern w:val="0"/>
          <w:sz w:val="32"/>
          <w:szCs w:val="32"/>
        </w:rPr>
        <w:t>2024年年初收到学生营养膳食补助中央拨付资金</w:t>
      </w:r>
      <w:r>
        <w:rPr>
          <w:rFonts w:hint="eastAsia" w:ascii="仿宋" w:hAnsi="仿宋" w:eastAsia="仿宋" w:cs="仿宋"/>
          <w:color w:val="C00000"/>
          <w:kern w:val="0"/>
          <w:sz w:val="32"/>
          <w:szCs w:val="32"/>
        </w:rPr>
        <w:t>28.66万元；省级资金4.52万元，市级资金0.74万元，区级配套资金1.38万元，上年结转14.31万元，共计49.61万元，实际支付27.52万元，结转区级配套资金22.09万元到2024年继续使用。</w:t>
      </w:r>
    </w:p>
    <w:p w14:paraId="25973E9C">
      <w:pPr>
        <w:adjustRightInd w:val="0"/>
        <w:snapToGrid w:val="0"/>
        <w:spacing w:line="578"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（三）评价选点。</w:t>
      </w:r>
    </w:p>
    <w:p w14:paraId="0611F7C7">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本次营养餐绩效评价报告旨在全面、准确地评估我们所提供的营养餐服务的质量、效果及客户满意度，以便进一步完善我们的服务，满足广大用户的需求。</w:t>
      </w:r>
    </w:p>
    <w:p w14:paraId="3DD18328">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在服务质量方面，我们始终坚持以学生健康为首要目标，精选优质食材，科学搭配营养，确保每一份营养餐都能达到营养均衡、口感美味的要求。同时，我们还严格把控生产流程，确保食品卫生安全，为用户提供安全、可靠的餐饮服务。</w:t>
      </w:r>
    </w:p>
    <w:p w14:paraId="571CD858">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在效果评估方面，通过收集学生的反馈意见和身体状况改善情况，我们发现，绝大多数学生对营养餐的口味和营养价值表示满意，同时，也有部分用户反映营养餐对他们的身体健康产生了积极的影响，如体重减轻、精力充沛等。这些数据充分证明了我们的营养餐在改善学生身体健康方面的积极作用。</w:t>
      </w:r>
    </w:p>
    <w:p w14:paraId="5CEE305A">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在客户满意度方面，我们通过问卷调查和电话回访的方式，了解到家长和学生对我们营养餐的满意度普遍较高，但也有部分用户提出了一些宝贵的意见和建议，如增加菜品种类等。我们将认真倾听用户的声音，不断改进和优化我们的服务。</w:t>
      </w:r>
    </w:p>
    <w:p w14:paraId="0FBDF843">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综上所述，本次营养餐绩效评价报告显示，我们的学生营养餐服务在质量、效果和客户满意度方面均取得了较为满意的成绩。但同时，我们也意识到仍存在一些不足和需要改进的地方。未来，我们将继续努力，不断提升服务质量，满足学生健康成长需求，为学生提供更加优质、营养丰富的餐饮服务。</w:t>
      </w:r>
    </w:p>
    <w:p w14:paraId="6E83741F">
      <w:pPr>
        <w:widowControl/>
        <w:adjustRightInd w:val="0"/>
        <w:snapToGrid w:val="0"/>
        <w:spacing w:line="578" w:lineRule="exact"/>
        <w:ind w:firstLine="643" w:firstLineChars="200"/>
        <w:contextualSpacing/>
        <w:jc w:val="left"/>
        <w:rPr>
          <w:rFonts w:ascii="仿宋" w:hAnsi="仿宋" w:eastAsia="仿宋" w:cs="仿宋"/>
          <w:kern w:val="0"/>
          <w:sz w:val="32"/>
          <w:szCs w:val="32"/>
        </w:rPr>
      </w:pPr>
      <w:r>
        <w:rPr>
          <w:rFonts w:hint="eastAsia" w:ascii="仿宋" w:hAnsi="仿宋" w:eastAsia="仿宋" w:cs="仿宋"/>
          <w:b/>
          <w:bCs/>
          <w:kern w:val="0"/>
          <w:sz w:val="32"/>
          <w:szCs w:val="32"/>
        </w:rPr>
        <w:t>(四)评价方法。</w:t>
      </w:r>
    </w:p>
    <w:p w14:paraId="6615C86D">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学校通过学生健康监测数据，食堂运营记录（如采购清单、库存记录、成本报表）、家长与学生满意度调查、食品安全检查记录和第三方审计报告等对学生营养餐项目进行绩效评价。</w:t>
      </w:r>
    </w:p>
    <w:p w14:paraId="2C44D171">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学生营养餐作为保障学生健康成长的重要措施，其质量与管理水平直接关系到学生的营养摄入与健康状况。为确保学生营养餐项目的高效运行与持续优化，每学年进行一次全面评价，同时辅以不定期抽查。学校建立有效的反馈机制，确保评价结果及时传达给相关部门和个人，并鼓励双向沟通。学校采用问卷调查、现场检查、定期审计、信息化管理系统等多种方式收集数据。</w:t>
      </w:r>
    </w:p>
    <w:p w14:paraId="7B087F5C">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明确绩效评价的总体目标，即促进学生营养均衡、提升餐饮服务质量、增强食品安全管理、提高资金使用效率等。</w:t>
      </w:r>
    </w:p>
    <w:p w14:paraId="69747392">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江林小学学生营养质量：包括食材种类多样性、营养素配比合理性、是否符合学生生长发育需求等。</w:t>
      </w:r>
    </w:p>
    <w:p w14:paraId="232030A3">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营养餐食品安全：食材采购渠道安全、加工制作规范、储存与分发过程卫生等。</w:t>
      </w:r>
    </w:p>
    <w:p w14:paraId="0386DE53">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营养餐服务质量：供餐准时性、菜品口味与满意度、服务人员态度等。</w:t>
      </w:r>
    </w:p>
    <w:p w14:paraId="25F8E089">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营养餐成本控制与效率：预算编制合理性、资金使用情况、食材浪费率、管理成本等。</w:t>
      </w:r>
    </w:p>
    <w:p w14:paraId="6EBFDF4D">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营养餐社会影响：家长满意度、学生健康改善情况、社会舆论评价等。</w:t>
      </w:r>
    </w:p>
    <w:p w14:paraId="7ACDC35E">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将各维度进一步细化为具体可量化的指标，如“每餐蛋白质摄入量占比”、“食材新鲜度检查频次”、“投诉处理及时率”等。</w:t>
      </w:r>
    </w:p>
    <w:p w14:paraId="2C120F83">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建立长效监督机制，包括定期复审、随机抽查、公众参与等，确保评价工作的连续性和有效性。</w:t>
      </w:r>
    </w:p>
    <w:p w14:paraId="75008150">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根据评价结果和反馈意见，不断优化评价指标体系、完善数据收集与分析方法、强化监督与管理措施，形成持续改进的良性循环。</w:t>
      </w:r>
    </w:p>
    <w:p w14:paraId="07CCCC71">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定期公布学生营养餐项目的相关信息，包括政策文件、资金使用、评价结果等，提高透明度。</w:t>
      </w:r>
    </w:p>
    <w:p w14:paraId="16BA5D02">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鼓励家长、学生、社会组织等多方参与评价过程，收集广泛意见，增强社会监督力量。</w:t>
      </w:r>
    </w:p>
    <w:p w14:paraId="36D07261">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建立畅通的沟通渠道，及时回应公众关切，增强公众对学生营养餐项目的信任与支持。</w:t>
      </w:r>
    </w:p>
    <w:p w14:paraId="4007940A">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综上所述，学生营养餐绩效评价方法的实施是一个系统工程，需要政府、学校、社会等多方共同努力，通过科学构建指标体系、精准收集与分析数据、严格实施评价、积极诊断问题并提出改进建议、及时反馈与应用结果、持续监督与改进以及增强公众参与与透明度等措施，不断提升学生营养餐项目的质量和效益。</w:t>
      </w:r>
    </w:p>
    <w:p w14:paraId="366C375F">
      <w:pPr>
        <w:widowControl/>
        <w:adjustRightInd w:val="0"/>
        <w:snapToGrid w:val="0"/>
        <w:spacing w:line="578" w:lineRule="exact"/>
        <w:ind w:firstLine="643" w:firstLineChars="200"/>
        <w:contextualSpacing/>
        <w:jc w:val="left"/>
        <w:rPr>
          <w:rFonts w:ascii="仿宋" w:hAnsi="仿宋" w:eastAsia="仿宋" w:cs="仿宋"/>
          <w:b/>
          <w:bCs/>
          <w:kern w:val="0"/>
          <w:sz w:val="32"/>
          <w:szCs w:val="32"/>
        </w:rPr>
      </w:pPr>
      <w:r>
        <w:rPr>
          <w:rFonts w:hint="eastAsia" w:ascii="仿宋" w:hAnsi="仿宋" w:eastAsia="仿宋" w:cs="仿宋"/>
          <w:b/>
          <w:bCs/>
          <w:kern w:val="0"/>
          <w:sz w:val="32"/>
          <w:szCs w:val="32"/>
        </w:rPr>
        <w:t>（五）评价组织。</w:t>
      </w:r>
    </w:p>
    <w:p w14:paraId="63A07399">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校成立了以李尧奇校长为组长的“学生营养改善计划”实施领导小组，由总务主任唐春艳为副组长，食堂管理员张利荣，各班主任以及相关责任人员为成员的“营养计划”工作领导小组。各成员分工明确，责任到人。同时我校成立了由家长、学生、教师代表共同的组成的营养餐改善计划监督小组，设置了监督举报电话，广泛接受社会监督。</w:t>
      </w:r>
    </w:p>
    <w:p w14:paraId="47623C77">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2. 学校建立健全了食品安全管理制度、“学生营养改善计划”规章制度及制定食品安全事故应急预案，并新装框上墙，相关人员明确责任，深刻理解、认真实施。</w:t>
      </w:r>
    </w:p>
    <w:p w14:paraId="34BADB0F">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3. 学校与食堂管理人员，采购人员、加工人员、库管人员签订了安全目标责任书，落实责任，明确职责。</w:t>
      </w:r>
    </w:p>
    <w:p w14:paraId="1D7070B6">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4. 认真组织，把好食品安全关。</w:t>
      </w:r>
    </w:p>
    <w:p w14:paraId="4971631F">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学校严格按照上级要求，认真组织，规范管理、严格把关。</w:t>
      </w:r>
    </w:p>
    <w:p w14:paraId="1556B8D5">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1）采购、出入库关。安排专人负责采购、对于不合格的食品及三无产品坚决不采购。2024年以来，营养餐材料采购意向公开、采购方式、采购程序、合同管理、履约验收等严格按照规定执行。进出库原材料必须由采购员、库管员、食堂负责人三方签字。</w:t>
      </w:r>
    </w:p>
    <w:p w14:paraId="287F3740">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（2）留样关、每餐由专人负责留样，做好记录，确保安全。</w:t>
      </w:r>
    </w:p>
    <w:p w14:paraId="13BFD8D3">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（3）加工关：对食堂从业人员进行岗前培训，持证上岗。要求从业人员严格按照操作流程规范操作加工。</w:t>
      </w:r>
    </w:p>
    <w:p w14:paraId="56FDAE94">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（4）营养关：根据学生实际，确定供餐食谱。并在每周一将本周食谱在食堂橱窗公示。食谱要求：营养均衡，荤素搭配。食堂要严格按照食谱采购，加工制作，让学生吃的放心。</w:t>
      </w:r>
    </w:p>
    <w:p w14:paraId="48500665">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（5）发放关：各班主任负责营养餐学生的实名信息登记工作。学校及时收集信息，做好营养餐学生人数统计、营养餐发放登记，学生饮食用情况统计。对于发放中出现的异常问题及时上报学校。</w:t>
      </w:r>
    </w:p>
    <w:p w14:paraId="5F11EDCD">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（6）回收关：要求各班对营养餐垃圾分类回收，存放于指定地点，并做好记录。</w:t>
      </w:r>
    </w:p>
    <w:p w14:paraId="52406DB7">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14:paraId="7C4E4579">
      <w:pPr>
        <w:spacing w:line="578" w:lineRule="exact"/>
        <w:ind w:firstLine="640"/>
        <w:rPr>
          <w:rFonts w:ascii="仿宋" w:hAnsi="仿宋" w:eastAsia="仿宋" w:cs="仿宋"/>
          <w:kern w:val="0"/>
          <w:sz w:val="32"/>
          <w:szCs w:val="32"/>
        </w:rPr>
      </w:pPr>
      <w:r>
        <w:rPr>
          <w:rFonts w:hint="eastAsia" w:ascii="仿宋" w:hAnsi="仿宋" w:eastAsia="仿宋" w:cs="仿宋"/>
          <w:kern w:val="0"/>
          <w:sz w:val="32"/>
          <w:szCs w:val="32"/>
        </w:rPr>
        <w:t>根据项目预算绩效评价指标体系“通用指标”“专用指标”“个性指标”涉及二、三级指标进行逐项绩效分析并评分。</w:t>
      </w:r>
    </w:p>
    <w:p w14:paraId="09FB811F">
      <w:pPr>
        <w:spacing w:line="578" w:lineRule="exact"/>
        <w:ind w:firstLine="640"/>
        <w:rPr>
          <w:rFonts w:ascii="仿宋" w:hAnsi="仿宋" w:eastAsia="仿宋" w:cs="仿宋"/>
          <w:b/>
          <w:bCs/>
          <w:kern w:val="0"/>
          <w:sz w:val="32"/>
          <w:szCs w:val="32"/>
        </w:rPr>
      </w:pPr>
      <w:r>
        <w:rPr>
          <w:rFonts w:hint="eastAsia" w:ascii="仿宋" w:hAnsi="仿宋" w:eastAsia="仿宋" w:cs="仿宋"/>
          <w:b/>
          <w:bCs/>
          <w:kern w:val="0"/>
          <w:sz w:val="32"/>
          <w:szCs w:val="32"/>
        </w:rPr>
        <w:t>（一）通用指标绩效分析。</w:t>
      </w:r>
    </w:p>
    <w:p w14:paraId="2EB32026">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1.项目决策。学生营养餐作为保障学生健康成长的重要措施，其质量与管理水平直接关系到学生的营养摄入与健康状况。为确保学生营养餐项目的高效运行与持续优化，每学年进行一次全面评价，同时辅以不定期抽查。学校建立有效的反馈机制，确保评价结果及时传达给相关部门和个人，并鼓励双向沟通。学校采用问卷调查、现场检查、定期审计、信息化管理系统等多种方式收集数据。</w:t>
      </w:r>
    </w:p>
    <w:p w14:paraId="39D41A5F">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明确绩效评价的总体目标，即促进学生营养均衡、提升餐饮服务质量、增强食品安全管理、提高资金使用效率等。</w:t>
      </w:r>
    </w:p>
    <w:p w14:paraId="74381F3A">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2.项目管理。学校成立了以李尧奇校长为组长的“学生营养改善计划”实施领导小组，总务主任唐春燕为副组长。食堂管理员张利容，各班主任以及相关责任人员为成员的“营养计划”工作领导小组。各成员分工明确，责任到人。同时我校成立了由家长、学生、教师代表共同的组成的营养餐改善计划监督小组，设置了监督举报电话，广泛接受社会监督。</w:t>
      </w:r>
    </w:p>
    <w:p w14:paraId="45FFDFE7">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学校建立健全了食品安全管理制度，制定食品安全事故应急预案，并重新装框上墙，相关人员明确责任，深刻理解、认真实施。</w:t>
      </w:r>
    </w:p>
    <w:p w14:paraId="1170C500">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学校与食堂从业人员签订了安全目标责任书，落实责任，明确职责。</w:t>
      </w:r>
    </w:p>
    <w:p w14:paraId="4D3EDACE">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3.项目实施。坚持严格执行营养餐安全监督检查制度，安全监督负责人或领导小组要坚持每天对营养餐安全情况进行监督检查，确保不符合质量要求的食物不进校、不食用，确保学生身体健康和饮食安全。</w:t>
      </w:r>
    </w:p>
    <w:p w14:paraId="74326E0A">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4.项目结果。学校自从实施“营养午餐”以来，要求食堂工作人员早上8点到食堂为学生准备午餐，以确保学生能在早上12点00分陆续就餐，同时总务处制定了一系列的管理制度并加强监管，防止食品卫生安全事故的发生，确保“学生营养改善计划”的有效落实。另外，学校因营养早餐所产生的水、电、气等日常运行经费均纳入学校公用经费开支，确保给在校学生提供等值的优质食品。</w:t>
      </w:r>
    </w:p>
    <w:p w14:paraId="0CE1FD6D">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通过该项目的实施，保障了学区内进一步改善农村学生营养状况，提高农村学生健康水平，减轻学生家庭负担，加快农村教育发展，促进教育公平。</w:t>
      </w:r>
    </w:p>
    <w:p w14:paraId="30548190">
      <w:pPr>
        <w:widowControl/>
        <w:adjustRightInd w:val="0"/>
        <w:snapToGrid w:val="0"/>
        <w:spacing w:line="578" w:lineRule="exact"/>
        <w:ind w:firstLine="643" w:firstLineChars="200"/>
        <w:contextualSpacing/>
        <w:jc w:val="left"/>
        <w:rPr>
          <w:rFonts w:ascii="仿宋" w:hAnsi="仿宋" w:eastAsia="仿宋" w:cs="仿宋"/>
          <w:b/>
          <w:bCs/>
          <w:kern w:val="0"/>
          <w:sz w:val="32"/>
          <w:szCs w:val="32"/>
        </w:rPr>
      </w:pPr>
      <w:r>
        <w:rPr>
          <w:rFonts w:hint="eastAsia" w:ascii="仿宋" w:hAnsi="仿宋" w:eastAsia="仿宋" w:cs="仿宋"/>
          <w:b/>
          <w:bCs/>
          <w:kern w:val="0"/>
          <w:sz w:val="32"/>
          <w:szCs w:val="32"/>
        </w:rPr>
        <w:t>（二）专用指标绩效分析。</w:t>
      </w:r>
    </w:p>
    <w:p w14:paraId="310E75A4">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严格按规定确定享受对象，认真审核享受人数，建立健全学生实名制档案并报乡镇教体办和县教体局审查备案，对学生人数、补助标准、受益人次等情况进行动态管理，严禁虚报、漏报学生数，严防冒领学生营养食品。</w:t>
      </w:r>
    </w:p>
    <w:p w14:paraId="748DF07A">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1.产业发展。大力宣传实施农村义务教育学生营养改善计划的重大意义，使党和政府的惠民政策家喻户晓，深入人心。</w:t>
      </w:r>
    </w:p>
    <w:p w14:paraId="32606333">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2.民生保障。保障了2024年度江林小学359名学生营养餐费用的正常支付；保障学生的健康成长和学习需求；是实现城乡教育均衡发展的需要；是利国利民的大好事。通过该项目的实施，力争使钒钛园区相关部门领导和社会对江林小学项目实施的满意度达到满意及以上。</w:t>
      </w:r>
    </w:p>
    <w:p w14:paraId="36F4B532">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3.基础设施。学校在原有设施的基础上，并在营养餐储藏间及营养餐加工间，安装了实时监控设施，保障了学生营养改善计划的顺利进行。</w:t>
      </w:r>
    </w:p>
    <w:p w14:paraId="1F7A1518">
      <w:pPr>
        <w:spacing w:line="578"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4.行政运转。建立健全学生营养改善计划实施方案、领导机构、管理制度、管理人员、工作人员，制定食品安全事故应急预案，并定期组织演练，确保学生食品安全、营养、卫生。</w:t>
      </w:r>
    </w:p>
    <w:p w14:paraId="04C0FF47">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认真做好营养餐工作的检查与指导。学校主要领导坚持每周检查指导一次,分管领导坚持每天指导检查一次；全面检查食品质量、食品接收、分发、食用、卫生安全等工作，对发现的问题要立即纠正和处理。</w:t>
      </w:r>
    </w:p>
    <w:p w14:paraId="36A4BFD6">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成立家长、学生和教师代表组成的营养餐工作监督小组，对学校营养餐工作落实进行全过程监管。</w:t>
      </w:r>
    </w:p>
    <w:p w14:paraId="7A6304C9">
      <w:pPr>
        <w:spacing w:line="578" w:lineRule="exact"/>
        <w:ind w:firstLine="640"/>
        <w:rPr>
          <w:rFonts w:ascii="仿宋" w:hAnsi="仿宋" w:eastAsia="仿宋" w:cs="仿宋"/>
          <w:kern w:val="0"/>
          <w:sz w:val="32"/>
          <w:szCs w:val="32"/>
        </w:rPr>
      </w:pPr>
      <w:r>
        <w:rPr>
          <w:rFonts w:hint="eastAsia" w:ascii="仿宋" w:hAnsi="仿宋" w:eastAsia="仿宋" w:cs="仿宋"/>
          <w:kern w:val="0"/>
          <w:sz w:val="32"/>
          <w:szCs w:val="32"/>
        </w:rPr>
        <w:t>（三）个性指标绩效分析。</w:t>
      </w:r>
    </w:p>
    <w:p w14:paraId="2FAF2DB8">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江林小学严格按照上级要求，认真组织，规范管理、严格把关。</w:t>
      </w:r>
    </w:p>
    <w:p w14:paraId="180E535A">
      <w:pPr>
        <w:widowControl/>
        <w:numPr>
          <w:ilvl w:val="0"/>
          <w:numId w:val="2"/>
        </w:numPr>
        <w:adjustRightInd w:val="0"/>
        <w:snapToGrid w:val="0"/>
        <w:spacing w:after="160"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采购、出入库关：安排专人负责采购、对于不合格的食品及三无产品坚决不采购。2024年以来，营养餐材料采购意向公开、采购方式、采购程序、合同管理、履约验收等严格按照规定执行。进出库原材料必须由采购员、库管员、食堂负责人三方签字。</w:t>
      </w:r>
    </w:p>
    <w:p w14:paraId="1BBF2702">
      <w:pPr>
        <w:widowControl/>
        <w:numPr>
          <w:ilvl w:val="0"/>
          <w:numId w:val="2"/>
        </w:numPr>
        <w:adjustRightInd w:val="0"/>
        <w:snapToGrid w:val="0"/>
        <w:spacing w:after="160"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留样关：每餐由专人负责留样，做好记录，确保安全。</w:t>
      </w:r>
    </w:p>
    <w:p w14:paraId="5083D2B8">
      <w:pPr>
        <w:widowControl/>
        <w:numPr>
          <w:ilvl w:val="0"/>
          <w:numId w:val="2"/>
        </w:numPr>
        <w:adjustRightInd w:val="0"/>
        <w:snapToGrid w:val="0"/>
        <w:spacing w:after="160"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加工关：对食堂从业人员进行岗前培训，持证上岗。要求从业人员严格按照操作流程规范操作加工。</w:t>
      </w:r>
    </w:p>
    <w:p w14:paraId="7AE9FEB8">
      <w:pPr>
        <w:widowControl/>
        <w:numPr>
          <w:ilvl w:val="0"/>
          <w:numId w:val="2"/>
        </w:numPr>
        <w:adjustRightInd w:val="0"/>
        <w:snapToGrid w:val="0"/>
        <w:spacing w:after="160"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营养关：根据学生实际，确定供餐食谱。并在每周一将本周食谱在食堂橱窗公示。食谱要求：营养均衡，荤素搭配。食堂要严格按照食谱采购，加工制作，让学生吃的放心。</w:t>
      </w:r>
    </w:p>
    <w:p w14:paraId="2CD0D0AA">
      <w:pPr>
        <w:widowControl/>
        <w:numPr>
          <w:ilvl w:val="0"/>
          <w:numId w:val="2"/>
        </w:numPr>
        <w:adjustRightInd w:val="0"/>
        <w:snapToGrid w:val="0"/>
        <w:spacing w:after="160"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发放关：各班主任负责营养餐学生的实名信息登记工作。学校及时收集信息，做好营养餐学生人数统计、营养餐发放登记，学生饮食用情况统计。对于发放中出现的异常问题及时上报学校。</w:t>
      </w:r>
    </w:p>
    <w:p w14:paraId="56B2AC25">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4832FA7B">
      <w:pPr>
        <w:widowControl/>
        <w:adjustRightInd w:val="0"/>
        <w:snapToGrid w:val="0"/>
        <w:spacing w:line="578"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实施农村义务教育学生营养改善计划及“三免一补”政策是落实《国家中长期教育改革和发展纲要（2010——2020）》的具体体现，按照一定标准分级承担资金落实了《四川省城乡义务教育补助经费管理办法》的文件精神。我校自从实施了“营养午餐”以来，一方面落实了相关要求，提高了学生的身体健康水平，增强了学生的身体素质，同时也减轻了学生家长的负担（中午无需为学生准备午餐），赢得了广大家长和学生的好评。落实“三免一补”政策，让学生及家长享受到了发展成果的红利，取得了良好的社会效益。营养餐计划的实施深得民心，得到社会认可，家长好评，使学生的健康成长得到了保障，拉近了学校与家庭的距离，使党的惠民政策落到实处，促进了和谐社会的构建。</w:t>
      </w:r>
    </w:p>
    <w:p w14:paraId="0F7A216F">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7A6A064A">
      <w:pPr>
        <w:adjustRightInd w:val="0"/>
        <w:snapToGrid w:val="0"/>
        <w:spacing w:line="578" w:lineRule="exact"/>
        <w:ind w:firstLine="720"/>
        <w:rPr>
          <w:rFonts w:ascii="仿宋" w:hAnsi="仿宋" w:eastAsia="仿宋" w:cs="仿宋"/>
          <w:kern w:val="0"/>
          <w:sz w:val="32"/>
          <w:szCs w:val="32"/>
        </w:rPr>
      </w:pPr>
      <w:r>
        <w:rPr>
          <w:rFonts w:hint="eastAsia" w:ascii="仿宋" w:hAnsi="仿宋" w:eastAsia="仿宋" w:cs="仿宋"/>
          <w:kern w:val="0"/>
          <w:sz w:val="32"/>
          <w:szCs w:val="32"/>
        </w:rPr>
        <w:t>营养餐补助标准以现在的物价来说偏低。众所周知，现如今营养餐的原材料如：肉类、菜类等物价上扬，加上营养餐制作、仓储、管理等相关成本，5元的标准实难达到增强学生营养的目的。</w:t>
      </w:r>
    </w:p>
    <w:p w14:paraId="5EBE780F">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0E2F601C">
      <w:pPr>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为学校配备的工作人员应由各地方执行部门的管理人员精挑细选，选聘文化层次较高的人员去管理一线操作人员。由一线管理人员常贯彻和组织一线操作人员学习国家政策的相关文件精神，并将文件内容落实到实处。</w:t>
      </w:r>
    </w:p>
    <w:p w14:paraId="2F124B58">
      <w:pPr>
        <w:spacing w:line="578" w:lineRule="exact"/>
        <w:ind w:firstLine="640"/>
        <w:rPr>
          <w:rFonts w:eastAsia="仿宋_GB2312" w:cs="仿宋_GB2312"/>
          <w:kern w:val="0"/>
          <w:sz w:val="32"/>
          <w:szCs w:val="32"/>
        </w:rPr>
      </w:pPr>
      <w:r>
        <w:rPr>
          <w:rFonts w:hint="eastAsia" w:eastAsia="仿宋_GB2312" w:cs="仿宋_GB2312"/>
          <w:kern w:val="0"/>
          <w:sz w:val="32"/>
          <w:szCs w:val="32"/>
        </w:rPr>
        <w:t>（注：以上绩效自评报告，除涉密敏感内容外，原则上都应予以公开）</w:t>
      </w:r>
    </w:p>
    <w:p w14:paraId="3C4AA8C0">
      <w:pPr>
        <w:spacing w:line="578" w:lineRule="exact"/>
        <w:ind w:firstLine="640"/>
        <w:rPr>
          <w:rFonts w:eastAsia="仿宋_GB2312" w:cs="仿宋_GB2312"/>
          <w:kern w:val="0"/>
          <w:sz w:val="32"/>
          <w:szCs w:val="32"/>
        </w:rPr>
      </w:pPr>
    </w:p>
    <w:p w14:paraId="07F8F4CC">
      <w:pPr>
        <w:spacing w:line="578" w:lineRule="exact"/>
        <w:ind w:firstLine="640"/>
        <w:rPr>
          <w:rFonts w:eastAsia="仿宋_GB2312" w:cs="仿宋_GB2312"/>
          <w:kern w:val="0"/>
          <w:sz w:val="32"/>
          <w:szCs w:val="32"/>
        </w:rPr>
      </w:pPr>
    </w:p>
    <w:p w14:paraId="78D1A93E">
      <w:pPr>
        <w:spacing w:line="578" w:lineRule="exact"/>
        <w:ind w:firstLine="640"/>
        <w:rPr>
          <w:rFonts w:eastAsia="仿宋_GB2312" w:cs="仿宋_GB2312"/>
          <w:kern w:val="0"/>
          <w:sz w:val="32"/>
          <w:szCs w:val="32"/>
        </w:rPr>
      </w:pPr>
      <w:bookmarkStart w:id="107" w:name="_Toc15396618"/>
      <w:r>
        <w:rPr>
          <w:rFonts w:hint="eastAsia" w:eastAsia="仿宋_GB2312" w:cs="仿宋_GB2312"/>
          <w:kern w:val="0"/>
          <w:sz w:val="32"/>
          <w:szCs w:val="32"/>
        </w:rPr>
        <w:br w:type="page"/>
      </w:r>
    </w:p>
    <w:p w14:paraId="42E3F8A8">
      <w:pPr>
        <w:spacing w:line="600" w:lineRule="exact"/>
        <w:jc w:val="center"/>
        <w:outlineLvl w:val="0"/>
        <w:rPr>
          <w:rFonts w:eastAsia="黑体"/>
          <w:sz w:val="44"/>
          <w:szCs w:val="44"/>
        </w:rPr>
      </w:pPr>
      <w:bookmarkStart w:id="108" w:name="_Toc208166663"/>
      <w:bookmarkStart w:id="109" w:name="_Toc208166870"/>
      <w:bookmarkStart w:id="110" w:name="_Toc208166992"/>
      <w:r>
        <w:rPr>
          <w:rFonts w:hint="eastAsia" w:eastAsia="黑体"/>
          <w:sz w:val="44"/>
          <w:szCs w:val="44"/>
        </w:rPr>
        <w:t>第五部分附表</w:t>
      </w:r>
      <w:bookmarkEnd w:id="102"/>
      <w:bookmarkEnd w:id="107"/>
      <w:bookmarkEnd w:id="108"/>
      <w:bookmarkEnd w:id="109"/>
      <w:bookmarkEnd w:id="110"/>
      <w:bookmarkStart w:id="111" w:name="_Toc15396619"/>
    </w:p>
    <w:p w14:paraId="7A941893">
      <w:pPr>
        <w:pStyle w:val="19"/>
        <w:adjustRightInd w:val="0"/>
        <w:snapToGrid w:val="0"/>
        <w:spacing w:line="560" w:lineRule="exact"/>
        <w:rPr>
          <w:rFonts w:eastAsia="仿宋_GB2312" w:cs="仿宋_GB2312"/>
          <w:sz w:val="32"/>
          <w:szCs w:val="32"/>
        </w:rPr>
      </w:pPr>
    </w:p>
    <w:p w14:paraId="2439ED8A">
      <w:pPr>
        <w:spacing w:line="600" w:lineRule="exact"/>
        <w:outlineLvl w:val="0"/>
        <w:rPr>
          <w:rFonts w:eastAsia="仿宋_GB2312" w:cs="仿宋_GB2312" w:asciiTheme="minorHAnsi" w:hAnsiTheme="minorHAnsi"/>
          <w:smallCaps/>
          <w:sz w:val="32"/>
          <w:szCs w:val="32"/>
        </w:rPr>
      </w:pPr>
      <w:bookmarkStart w:id="112" w:name="_Toc208166664"/>
      <w:bookmarkStart w:id="113" w:name="_Toc208166871"/>
      <w:bookmarkStart w:id="114" w:name="_Toc208166993"/>
      <w:r>
        <w:rPr>
          <w:rFonts w:hint="eastAsia" w:eastAsia="仿宋_GB2312" w:cs="仿宋_GB2312" w:asciiTheme="minorHAnsi" w:hAnsiTheme="minorHAnsi"/>
          <w:smallCaps/>
          <w:sz w:val="32"/>
          <w:szCs w:val="32"/>
        </w:rPr>
        <w:t>一、收入支出决算总表</w:t>
      </w:r>
      <w:bookmarkEnd w:id="111"/>
      <w:bookmarkEnd w:id="112"/>
      <w:bookmarkEnd w:id="113"/>
      <w:bookmarkEnd w:id="114"/>
    </w:p>
    <w:p w14:paraId="47CB8B9A">
      <w:pPr>
        <w:spacing w:line="600" w:lineRule="exact"/>
        <w:outlineLvl w:val="0"/>
        <w:rPr>
          <w:rFonts w:eastAsia="仿宋_GB2312" w:cs="仿宋_GB2312" w:asciiTheme="minorHAnsi" w:hAnsiTheme="minorHAnsi"/>
          <w:smallCaps/>
          <w:sz w:val="32"/>
          <w:szCs w:val="32"/>
        </w:rPr>
      </w:pPr>
      <w:bookmarkStart w:id="115" w:name="_Toc15396620"/>
      <w:bookmarkStart w:id="116" w:name="_Toc208166665"/>
      <w:bookmarkStart w:id="117" w:name="_Toc208166872"/>
      <w:bookmarkStart w:id="118" w:name="_Toc208166994"/>
      <w:r>
        <w:rPr>
          <w:rFonts w:hint="eastAsia" w:eastAsia="仿宋_GB2312" w:cs="仿宋_GB2312" w:asciiTheme="minorHAnsi" w:hAnsiTheme="minorHAnsi"/>
          <w:smallCaps/>
          <w:sz w:val="32"/>
          <w:szCs w:val="32"/>
        </w:rPr>
        <w:t>二、收入决算表</w:t>
      </w:r>
      <w:bookmarkEnd w:id="115"/>
      <w:bookmarkEnd w:id="116"/>
      <w:bookmarkEnd w:id="117"/>
      <w:bookmarkEnd w:id="118"/>
    </w:p>
    <w:p w14:paraId="69F08E59">
      <w:pPr>
        <w:spacing w:line="600" w:lineRule="exact"/>
        <w:outlineLvl w:val="0"/>
        <w:rPr>
          <w:rFonts w:eastAsia="仿宋_GB2312" w:cs="仿宋_GB2312" w:asciiTheme="minorHAnsi" w:hAnsiTheme="minorHAnsi"/>
          <w:smallCaps/>
          <w:sz w:val="32"/>
          <w:szCs w:val="32"/>
        </w:rPr>
      </w:pPr>
      <w:bookmarkStart w:id="119" w:name="_Toc15396621"/>
      <w:bookmarkStart w:id="120" w:name="_Toc208166666"/>
      <w:bookmarkStart w:id="121" w:name="_Toc208166873"/>
      <w:bookmarkStart w:id="122" w:name="_Toc208166995"/>
      <w:r>
        <w:rPr>
          <w:rFonts w:hint="eastAsia" w:eastAsia="仿宋_GB2312" w:cs="仿宋_GB2312" w:asciiTheme="minorHAnsi" w:hAnsiTheme="minorHAnsi"/>
          <w:smallCaps/>
          <w:sz w:val="32"/>
          <w:szCs w:val="32"/>
        </w:rPr>
        <w:t>三、支出决算表</w:t>
      </w:r>
      <w:bookmarkEnd w:id="119"/>
      <w:bookmarkEnd w:id="120"/>
      <w:bookmarkEnd w:id="121"/>
      <w:bookmarkEnd w:id="122"/>
    </w:p>
    <w:p w14:paraId="0E8F2A39">
      <w:pPr>
        <w:spacing w:line="600" w:lineRule="exact"/>
        <w:outlineLvl w:val="0"/>
        <w:rPr>
          <w:rFonts w:eastAsia="仿宋_GB2312" w:cs="仿宋_GB2312" w:asciiTheme="minorHAnsi" w:hAnsiTheme="minorHAnsi"/>
          <w:smallCaps/>
          <w:sz w:val="32"/>
          <w:szCs w:val="32"/>
        </w:rPr>
      </w:pPr>
      <w:bookmarkStart w:id="123" w:name="_Toc15396622"/>
      <w:bookmarkStart w:id="124" w:name="_Toc208166667"/>
      <w:bookmarkStart w:id="125" w:name="_Toc208166874"/>
      <w:bookmarkStart w:id="126" w:name="_Toc208166996"/>
      <w:r>
        <w:rPr>
          <w:rFonts w:hint="eastAsia" w:eastAsia="仿宋_GB2312" w:cs="仿宋_GB2312" w:asciiTheme="minorHAnsi" w:hAnsiTheme="minorHAnsi"/>
          <w:smallCaps/>
          <w:sz w:val="32"/>
          <w:szCs w:val="32"/>
        </w:rPr>
        <w:t>四、财政拨款收入支出决算总表</w:t>
      </w:r>
      <w:bookmarkEnd w:id="123"/>
      <w:bookmarkEnd w:id="124"/>
      <w:bookmarkEnd w:id="125"/>
      <w:bookmarkEnd w:id="126"/>
    </w:p>
    <w:p w14:paraId="4609E0B3">
      <w:pPr>
        <w:spacing w:line="600" w:lineRule="exact"/>
        <w:outlineLvl w:val="0"/>
        <w:rPr>
          <w:rFonts w:eastAsia="仿宋_GB2312" w:cs="仿宋_GB2312" w:asciiTheme="minorHAnsi" w:hAnsiTheme="minorHAnsi"/>
          <w:smallCaps/>
          <w:sz w:val="32"/>
          <w:szCs w:val="32"/>
        </w:rPr>
      </w:pPr>
      <w:bookmarkStart w:id="127" w:name="_Toc15396623"/>
      <w:bookmarkStart w:id="128" w:name="_Toc208166668"/>
      <w:bookmarkStart w:id="129" w:name="_Toc208166875"/>
      <w:bookmarkStart w:id="130" w:name="_Toc208166997"/>
      <w:r>
        <w:rPr>
          <w:rFonts w:hint="eastAsia" w:eastAsia="仿宋_GB2312" w:cs="仿宋_GB2312" w:asciiTheme="minorHAnsi" w:hAnsiTheme="minorHAnsi"/>
          <w:smallCaps/>
          <w:sz w:val="32"/>
          <w:szCs w:val="32"/>
        </w:rPr>
        <w:t>五、财政拨款支出决算明细表</w:t>
      </w:r>
      <w:bookmarkEnd w:id="127"/>
      <w:bookmarkEnd w:id="128"/>
      <w:bookmarkEnd w:id="129"/>
      <w:bookmarkEnd w:id="130"/>
      <w:bookmarkStart w:id="131" w:name="_Toc15396624"/>
    </w:p>
    <w:p w14:paraId="2A0F4397">
      <w:pPr>
        <w:spacing w:line="600" w:lineRule="exact"/>
        <w:outlineLvl w:val="0"/>
        <w:rPr>
          <w:rFonts w:eastAsia="仿宋_GB2312" w:cs="仿宋_GB2312" w:asciiTheme="minorHAnsi" w:hAnsiTheme="minorHAnsi"/>
          <w:smallCaps/>
          <w:sz w:val="32"/>
          <w:szCs w:val="32"/>
        </w:rPr>
      </w:pPr>
      <w:bookmarkStart w:id="132" w:name="_Toc208166669"/>
      <w:bookmarkStart w:id="133" w:name="_Toc208166876"/>
      <w:bookmarkStart w:id="134" w:name="_Toc208166998"/>
      <w:r>
        <w:rPr>
          <w:rFonts w:hint="eastAsia" w:eastAsia="仿宋_GB2312" w:cs="仿宋_GB2312" w:asciiTheme="minorHAnsi" w:hAnsiTheme="minorHAnsi"/>
          <w:smallCaps/>
          <w:sz w:val="32"/>
          <w:szCs w:val="32"/>
        </w:rPr>
        <w:t>六、一般公共预算财政拨款支出决算表</w:t>
      </w:r>
      <w:bookmarkEnd w:id="131"/>
      <w:bookmarkEnd w:id="132"/>
      <w:bookmarkEnd w:id="133"/>
      <w:bookmarkEnd w:id="134"/>
    </w:p>
    <w:p w14:paraId="0DA22536">
      <w:pPr>
        <w:spacing w:line="600" w:lineRule="exact"/>
        <w:outlineLvl w:val="0"/>
        <w:rPr>
          <w:rFonts w:eastAsia="仿宋_GB2312" w:cs="仿宋_GB2312" w:asciiTheme="minorHAnsi" w:hAnsiTheme="minorHAnsi"/>
          <w:smallCaps/>
          <w:sz w:val="32"/>
          <w:szCs w:val="32"/>
        </w:rPr>
      </w:pPr>
      <w:bookmarkStart w:id="135" w:name="_Toc15396625"/>
      <w:bookmarkStart w:id="136" w:name="_Toc208166670"/>
      <w:bookmarkStart w:id="137" w:name="_Toc208166877"/>
      <w:bookmarkStart w:id="138" w:name="_Toc208166999"/>
      <w:r>
        <w:rPr>
          <w:rFonts w:hint="eastAsia" w:eastAsia="仿宋_GB2312" w:cs="仿宋_GB2312" w:asciiTheme="minorHAnsi" w:hAnsiTheme="minorHAnsi"/>
          <w:smallCaps/>
          <w:sz w:val="32"/>
          <w:szCs w:val="32"/>
        </w:rPr>
        <w:t>七、一般公共预算财政拨款支出决算明细表</w:t>
      </w:r>
      <w:bookmarkEnd w:id="135"/>
      <w:bookmarkEnd w:id="136"/>
      <w:bookmarkEnd w:id="137"/>
      <w:bookmarkEnd w:id="138"/>
    </w:p>
    <w:p w14:paraId="34DA1BB9">
      <w:pPr>
        <w:spacing w:line="600" w:lineRule="exact"/>
        <w:outlineLvl w:val="0"/>
        <w:rPr>
          <w:rFonts w:eastAsia="仿宋_GB2312" w:cs="仿宋_GB2312" w:asciiTheme="minorHAnsi" w:hAnsiTheme="minorHAnsi"/>
          <w:smallCaps/>
          <w:sz w:val="32"/>
          <w:szCs w:val="32"/>
        </w:rPr>
      </w:pPr>
      <w:bookmarkStart w:id="139" w:name="_Toc15396626"/>
      <w:bookmarkStart w:id="140" w:name="_Toc208166671"/>
      <w:bookmarkStart w:id="141" w:name="_Toc208166878"/>
      <w:bookmarkStart w:id="142" w:name="_Toc208167000"/>
      <w:r>
        <w:rPr>
          <w:rFonts w:hint="eastAsia" w:eastAsia="仿宋_GB2312" w:cs="仿宋_GB2312" w:asciiTheme="minorHAnsi" w:hAnsiTheme="minorHAnsi"/>
          <w:smallCaps/>
          <w:sz w:val="32"/>
          <w:szCs w:val="32"/>
        </w:rPr>
        <w:t>八、一般公共预算财政拨款基本支出决算表</w:t>
      </w:r>
      <w:bookmarkEnd w:id="139"/>
      <w:bookmarkEnd w:id="140"/>
      <w:bookmarkEnd w:id="141"/>
      <w:bookmarkEnd w:id="142"/>
    </w:p>
    <w:p w14:paraId="6A032C0B">
      <w:pPr>
        <w:spacing w:line="600" w:lineRule="exact"/>
        <w:outlineLvl w:val="0"/>
        <w:rPr>
          <w:rFonts w:eastAsia="仿宋_GB2312" w:cs="仿宋_GB2312" w:asciiTheme="minorHAnsi" w:hAnsiTheme="minorHAnsi"/>
          <w:smallCaps/>
          <w:sz w:val="32"/>
          <w:szCs w:val="32"/>
        </w:rPr>
      </w:pPr>
      <w:bookmarkStart w:id="143" w:name="_Toc15396627"/>
      <w:bookmarkStart w:id="144" w:name="_Toc208166672"/>
      <w:bookmarkStart w:id="145" w:name="_Toc208166879"/>
      <w:bookmarkStart w:id="146" w:name="_Toc208167001"/>
      <w:r>
        <w:rPr>
          <w:rFonts w:hint="eastAsia" w:eastAsia="仿宋_GB2312" w:cs="仿宋_GB2312" w:asciiTheme="minorHAnsi" w:hAnsiTheme="minorHAnsi"/>
          <w:smallCaps/>
          <w:sz w:val="32"/>
          <w:szCs w:val="32"/>
        </w:rPr>
        <w:t>九、一般公共预算财政拨款项目支出决算表</w:t>
      </w:r>
      <w:bookmarkEnd w:id="143"/>
      <w:bookmarkEnd w:id="144"/>
      <w:bookmarkEnd w:id="145"/>
      <w:bookmarkEnd w:id="146"/>
    </w:p>
    <w:p w14:paraId="529698D6">
      <w:pPr>
        <w:spacing w:line="600" w:lineRule="exact"/>
        <w:outlineLvl w:val="0"/>
        <w:rPr>
          <w:rFonts w:eastAsia="仿宋_GB2312" w:cs="仿宋_GB2312" w:asciiTheme="minorHAnsi" w:hAnsiTheme="minorHAnsi"/>
          <w:smallCaps/>
          <w:sz w:val="32"/>
          <w:szCs w:val="32"/>
        </w:rPr>
      </w:pPr>
      <w:bookmarkStart w:id="147" w:name="_Toc15396628"/>
      <w:bookmarkStart w:id="148" w:name="_Toc208166673"/>
      <w:bookmarkStart w:id="149" w:name="_Toc208166880"/>
      <w:bookmarkStart w:id="150" w:name="_Toc208167002"/>
      <w:r>
        <w:rPr>
          <w:rFonts w:hint="eastAsia" w:eastAsia="仿宋_GB2312" w:cs="仿宋_GB2312" w:asciiTheme="minorHAnsi" w:hAnsiTheme="minorHAnsi"/>
          <w:smallCaps/>
          <w:sz w:val="32"/>
          <w:szCs w:val="32"/>
        </w:rPr>
        <w:t>十、</w:t>
      </w:r>
      <w:bookmarkEnd w:id="147"/>
      <w:r>
        <w:rPr>
          <w:rFonts w:hint="eastAsia" w:eastAsia="仿宋_GB2312" w:cs="仿宋_GB2312" w:asciiTheme="minorHAnsi" w:hAnsiTheme="minorHAnsi"/>
          <w:smallCaps/>
          <w:sz w:val="32"/>
          <w:szCs w:val="32"/>
        </w:rPr>
        <w:t>政府性基金预算财政拨款收入支出决算表</w:t>
      </w:r>
      <w:bookmarkEnd w:id="148"/>
      <w:bookmarkEnd w:id="149"/>
      <w:bookmarkEnd w:id="150"/>
    </w:p>
    <w:p w14:paraId="278DC834">
      <w:pPr>
        <w:spacing w:line="600" w:lineRule="exact"/>
        <w:outlineLvl w:val="0"/>
        <w:rPr>
          <w:rFonts w:eastAsia="仿宋_GB2312" w:cs="仿宋_GB2312" w:asciiTheme="minorHAnsi" w:hAnsiTheme="minorHAnsi"/>
          <w:smallCaps/>
          <w:sz w:val="32"/>
          <w:szCs w:val="32"/>
        </w:rPr>
      </w:pPr>
      <w:bookmarkStart w:id="151" w:name="_Toc15396629"/>
      <w:bookmarkStart w:id="152" w:name="_Toc208166674"/>
      <w:bookmarkStart w:id="153" w:name="_Toc208166881"/>
      <w:bookmarkStart w:id="154" w:name="_Toc208167003"/>
      <w:r>
        <w:rPr>
          <w:rFonts w:hint="eastAsia" w:eastAsia="仿宋_GB2312" w:cs="仿宋_GB2312" w:asciiTheme="minorHAnsi" w:hAnsiTheme="minorHAnsi"/>
          <w:smallCaps/>
          <w:sz w:val="32"/>
          <w:szCs w:val="32"/>
        </w:rPr>
        <w:t>十一、</w:t>
      </w:r>
      <w:bookmarkEnd w:id="151"/>
      <w:r>
        <w:rPr>
          <w:rFonts w:hint="eastAsia" w:eastAsia="仿宋_GB2312" w:cs="仿宋_GB2312" w:asciiTheme="minorHAnsi" w:hAnsiTheme="minorHAnsi"/>
          <w:smallCaps/>
          <w:sz w:val="32"/>
          <w:szCs w:val="32"/>
        </w:rPr>
        <w:t>国有资本经营预算财政拨款收入支出决算表</w:t>
      </w:r>
      <w:bookmarkEnd w:id="152"/>
      <w:bookmarkEnd w:id="153"/>
      <w:bookmarkEnd w:id="154"/>
    </w:p>
    <w:p w14:paraId="4D4DEE92">
      <w:pPr>
        <w:spacing w:line="600" w:lineRule="exact"/>
        <w:outlineLvl w:val="0"/>
        <w:rPr>
          <w:rFonts w:eastAsia="仿宋_GB2312" w:cs="仿宋_GB2312" w:asciiTheme="minorHAnsi" w:hAnsiTheme="minorHAnsi"/>
          <w:smallCaps/>
          <w:sz w:val="32"/>
          <w:szCs w:val="32"/>
        </w:rPr>
      </w:pPr>
      <w:bookmarkStart w:id="155" w:name="_Toc15396630"/>
      <w:bookmarkStart w:id="156" w:name="_Toc208166675"/>
      <w:bookmarkStart w:id="157" w:name="_Toc208166882"/>
      <w:bookmarkStart w:id="158" w:name="_Toc208167004"/>
      <w:r>
        <w:rPr>
          <w:rFonts w:hint="eastAsia" w:eastAsia="仿宋_GB2312" w:cs="仿宋_GB2312" w:asciiTheme="minorHAnsi" w:hAnsiTheme="minorHAnsi"/>
          <w:smallCaps/>
          <w:sz w:val="32"/>
          <w:szCs w:val="32"/>
        </w:rPr>
        <w:t>十二、</w:t>
      </w:r>
      <w:bookmarkEnd w:id="155"/>
      <w:r>
        <w:rPr>
          <w:rFonts w:hint="eastAsia" w:eastAsia="仿宋_GB2312" w:cs="仿宋_GB2312" w:asciiTheme="minorHAnsi" w:hAnsiTheme="minorHAnsi"/>
          <w:smallCaps/>
          <w:sz w:val="32"/>
          <w:szCs w:val="32"/>
        </w:rPr>
        <w:t>国有资本经营预算财政拨款支出决算表</w:t>
      </w:r>
      <w:bookmarkEnd w:id="156"/>
      <w:bookmarkEnd w:id="157"/>
      <w:bookmarkEnd w:id="158"/>
    </w:p>
    <w:p w14:paraId="60F5D200">
      <w:pPr>
        <w:spacing w:line="600" w:lineRule="exact"/>
        <w:outlineLvl w:val="0"/>
        <w:rPr>
          <w:rFonts w:eastAsia="仿宋_GB2312" w:cs="仿宋_GB2312" w:asciiTheme="minorHAnsi" w:hAnsiTheme="minorHAnsi"/>
          <w:smallCaps/>
          <w:sz w:val="32"/>
          <w:szCs w:val="32"/>
        </w:rPr>
      </w:pPr>
      <w:bookmarkStart w:id="159" w:name="_Toc15396631"/>
      <w:bookmarkStart w:id="160" w:name="_Toc208166676"/>
      <w:bookmarkStart w:id="161" w:name="_Toc208166883"/>
      <w:bookmarkStart w:id="162" w:name="_Toc208167005"/>
      <w:r>
        <w:rPr>
          <w:rFonts w:hint="eastAsia" w:eastAsia="仿宋_GB2312" w:cs="仿宋_GB2312" w:asciiTheme="minorHAnsi" w:hAnsiTheme="minorHAnsi"/>
          <w:smallCaps/>
          <w:sz w:val="32"/>
          <w:szCs w:val="32"/>
        </w:rPr>
        <w:t>十三、</w:t>
      </w:r>
      <w:bookmarkEnd w:id="159"/>
      <w:r>
        <w:rPr>
          <w:rFonts w:hint="eastAsia" w:eastAsia="仿宋_GB2312" w:cs="仿宋_GB2312" w:asciiTheme="minorHAnsi" w:hAnsiTheme="minorHAnsi"/>
          <w:smallCaps/>
          <w:sz w:val="32"/>
          <w:szCs w:val="32"/>
        </w:rPr>
        <w:t>财政拨款“三公”经费支出决算表</w:t>
      </w:r>
      <w:bookmarkEnd w:id="160"/>
      <w:bookmarkEnd w:id="161"/>
      <w:bookmarkEnd w:id="162"/>
    </w:p>
    <w:p w14:paraId="3542FF63"/>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3920299"/>
      <w:docPartObj>
        <w:docPartGallery w:val="autotext"/>
      </w:docPartObj>
    </w:sdtPr>
    <w:sdtContent>
      <w:p w14:paraId="2B1D7155">
        <w:pPr>
          <w:pStyle w:val="14"/>
          <w:jc w:val="center"/>
        </w:pPr>
        <w:r>
          <w:fldChar w:fldCharType="begin"/>
        </w:r>
        <w:r>
          <w:instrText xml:space="preserve">PAGE   \* MERGEFORMAT</w:instrText>
        </w:r>
        <w:r>
          <w:fldChar w:fldCharType="separate"/>
        </w:r>
        <w:r>
          <w:rPr>
            <w:lang w:val="zh-CN"/>
          </w:rPr>
          <w:t>31</w:t>
        </w:r>
        <w:r>
          <w:rPr>
            <w:lang w:val="zh-CN"/>
          </w:rPr>
          <w:fldChar w:fldCharType="end"/>
        </w:r>
      </w:p>
    </w:sdtContent>
  </w:sdt>
  <w:p w14:paraId="43962B8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1361402"/>
      <w:docPartObj>
        <w:docPartGallery w:val="autotext"/>
      </w:docPartObj>
    </w:sdtPr>
    <w:sdtContent>
      <w:p w14:paraId="41266C27">
        <w:pPr>
          <w:pStyle w:val="14"/>
          <w:jc w:val="center"/>
        </w:pPr>
        <w:r>
          <w:fldChar w:fldCharType="begin"/>
        </w:r>
        <w:r>
          <w:instrText xml:space="preserve">PAGE   \* MERGEFORMAT</w:instrText>
        </w:r>
        <w:r>
          <w:fldChar w:fldCharType="separate"/>
        </w:r>
        <w:r>
          <w:rPr>
            <w:lang w:val="zh-CN"/>
          </w:rPr>
          <w:t>1</w:t>
        </w:r>
        <w:r>
          <w:rPr>
            <w:lang w:val="zh-CN"/>
          </w:rPr>
          <w:fldChar w:fldCharType="end"/>
        </w:r>
      </w:p>
    </w:sdtContent>
  </w:sdt>
  <w:p w14:paraId="4AFA2D2E">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20AE1"/>
    <w:multiLevelType w:val="multilevel"/>
    <w:tmpl w:val="1A920AE1"/>
    <w:lvl w:ilvl="0" w:tentative="0">
      <w:start w:val="1"/>
      <w:numFmt w:val="none"/>
      <w:lvlText w:val="一、"/>
      <w:lvlJc w:val="left"/>
      <w:pPr>
        <w:ind w:left="640" w:hanging="6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6015DC1"/>
    <w:multiLevelType w:val="singleLevel"/>
    <w:tmpl w:val="56015DC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7F29"/>
    <w:rsid w:val="000222C6"/>
    <w:rsid w:val="0002549F"/>
    <w:rsid w:val="00041083"/>
    <w:rsid w:val="000468DB"/>
    <w:rsid w:val="00054A44"/>
    <w:rsid w:val="00055173"/>
    <w:rsid w:val="00056FD5"/>
    <w:rsid w:val="0006487A"/>
    <w:rsid w:val="00064DA8"/>
    <w:rsid w:val="00065F8F"/>
    <w:rsid w:val="00070A43"/>
    <w:rsid w:val="0007197E"/>
    <w:rsid w:val="00073B96"/>
    <w:rsid w:val="000768F2"/>
    <w:rsid w:val="000809DD"/>
    <w:rsid w:val="0009184B"/>
    <w:rsid w:val="00094236"/>
    <w:rsid w:val="0009593C"/>
    <w:rsid w:val="00097322"/>
    <w:rsid w:val="000A6A92"/>
    <w:rsid w:val="000B047F"/>
    <w:rsid w:val="000B5923"/>
    <w:rsid w:val="000B5A48"/>
    <w:rsid w:val="000B5B99"/>
    <w:rsid w:val="000B6FF3"/>
    <w:rsid w:val="000C0248"/>
    <w:rsid w:val="000C3467"/>
    <w:rsid w:val="000C3CA6"/>
    <w:rsid w:val="000D1267"/>
    <w:rsid w:val="000D1D50"/>
    <w:rsid w:val="000D5782"/>
    <w:rsid w:val="000E6613"/>
    <w:rsid w:val="000E7119"/>
    <w:rsid w:val="000F6034"/>
    <w:rsid w:val="001010BB"/>
    <w:rsid w:val="00114E9B"/>
    <w:rsid w:val="00120508"/>
    <w:rsid w:val="00122769"/>
    <w:rsid w:val="00142216"/>
    <w:rsid w:val="00144D6A"/>
    <w:rsid w:val="0014729F"/>
    <w:rsid w:val="00156C0E"/>
    <w:rsid w:val="00157BAB"/>
    <w:rsid w:val="001654D1"/>
    <w:rsid w:val="00166A1D"/>
    <w:rsid w:val="00174518"/>
    <w:rsid w:val="0018106D"/>
    <w:rsid w:val="001877A7"/>
    <w:rsid w:val="00191536"/>
    <w:rsid w:val="00196687"/>
    <w:rsid w:val="001A77C6"/>
    <w:rsid w:val="001B2328"/>
    <w:rsid w:val="001C0962"/>
    <w:rsid w:val="001D7531"/>
    <w:rsid w:val="001E737D"/>
    <w:rsid w:val="001F0592"/>
    <w:rsid w:val="001F7506"/>
    <w:rsid w:val="002006CD"/>
    <w:rsid w:val="00202B36"/>
    <w:rsid w:val="00203C6E"/>
    <w:rsid w:val="00204B7A"/>
    <w:rsid w:val="00204CDE"/>
    <w:rsid w:val="0021101A"/>
    <w:rsid w:val="00220536"/>
    <w:rsid w:val="00227325"/>
    <w:rsid w:val="00233E82"/>
    <w:rsid w:val="00235629"/>
    <w:rsid w:val="00244EC1"/>
    <w:rsid w:val="00245925"/>
    <w:rsid w:val="002549FA"/>
    <w:rsid w:val="00260C38"/>
    <w:rsid w:val="002616C0"/>
    <w:rsid w:val="00263001"/>
    <w:rsid w:val="00265372"/>
    <w:rsid w:val="002662AA"/>
    <w:rsid w:val="00277D79"/>
    <w:rsid w:val="00280496"/>
    <w:rsid w:val="00292F1A"/>
    <w:rsid w:val="00294DC9"/>
    <w:rsid w:val="00295495"/>
    <w:rsid w:val="002A31DE"/>
    <w:rsid w:val="002B2613"/>
    <w:rsid w:val="002D50FA"/>
    <w:rsid w:val="002D6D05"/>
    <w:rsid w:val="002F1818"/>
    <w:rsid w:val="002F567B"/>
    <w:rsid w:val="0031071D"/>
    <w:rsid w:val="00312028"/>
    <w:rsid w:val="00312624"/>
    <w:rsid w:val="003216A9"/>
    <w:rsid w:val="00335A74"/>
    <w:rsid w:val="00351DAC"/>
    <w:rsid w:val="0036561B"/>
    <w:rsid w:val="0037013F"/>
    <w:rsid w:val="00376974"/>
    <w:rsid w:val="00380C92"/>
    <w:rsid w:val="003A484F"/>
    <w:rsid w:val="003A4883"/>
    <w:rsid w:val="003B0BE0"/>
    <w:rsid w:val="003B0C1B"/>
    <w:rsid w:val="003B688C"/>
    <w:rsid w:val="003C0291"/>
    <w:rsid w:val="003C0590"/>
    <w:rsid w:val="003C06C7"/>
    <w:rsid w:val="003C0CEB"/>
    <w:rsid w:val="003C1277"/>
    <w:rsid w:val="003C39AE"/>
    <w:rsid w:val="003C4ED5"/>
    <w:rsid w:val="003C5C6B"/>
    <w:rsid w:val="003C7B60"/>
    <w:rsid w:val="003D0C0F"/>
    <w:rsid w:val="003D1FB2"/>
    <w:rsid w:val="003D66DA"/>
    <w:rsid w:val="003E1310"/>
    <w:rsid w:val="003E1A37"/>
    <w:rsid w:val="003E6A94"/>
    <w:rsid w:val="003E6F55"/>
    <w:rsid w:val="003F503D"/>
    <w:rsid w:val="004018F1"/>
    <w:rsid w:val="00406254"/>
    <w:rsid w:val="004223DE"/>
    <w:rsid w:val="00423B10"/>
    <w:rsid w:val="00434489"/>
    <w:rsid w:val="00437085"/>
    <w:rsid w:val="00443880"/>
    <w:rsid w:val="004464F4"/>
    <w:rsid w:val="00471401"/>
    <w:rsid w:val="00473F31"/>
    <w:rsid w:val="0048263A"/>
    <w:rsid w:val="00487E5D"/>
    <w:rsid w:val="00494CB1"/>
    <w:rsid w:val="004A711F"/>
    <w:rsid w:val="004B199D"/>
    <w:rsid w:val="004B4690"/>
    <w:rsid w:val="004E0A2D"/>
    <w:rsid w:val="004E206B"/>
    <w:rsid w:val="004E6DF7"/>
    <w:rsid w:val="004F0FBD"/>
    <w:rsid w:val="004F6866"/>
    <w:rsid w:val="00504B68"/>
    <w:rsid w:val="00505851"/>
    <w:rsid w:val="00505A47"/>
    <w:rsid w:val="00512FDA"/>
    <w:rsid w:val="00520DA0"/>
    <w:rsid w:val="0052394A"/>
    <w:rsid w:val="00531FAF"/>
    <w:rsid w:val="00543D93"/>
    <w:rsid w:val="005628CF"/>
    <w:rsid w:val="005664BB"/>
    <w:rsid w:val="00566FFA"/>
    <w:rsid w:val="0057481D"/>
    <w:rsid w:val="0058486E"/>
    <w:rsid w:val="00585B33"/>
    <w:rsid w:val="0059014D"/>
    <w:rsid w:val="00591408"/>
    <w:rsid w:val="005B09F9"/>
    <w:rsid w:val="005B5C64"/>
    <w:rsid w:val="005C5337"/>
    <w:rsid w:val="005C6BD0"/>
    <w:rsid w:val="005C780E"/>
    <w:rsid w:val="005D0157"/>
    <w:rsid w:val="005D1C8B"/>
    <w:rsid w:val="005D468D"/>
    <w:rsid w:val="005D5746"/>
    <w:rsid w:val="005D5CED"/>
    <w:rsid w:val="005D712D"/>
    <w:rsid w:val="005F1A4C"/>
    <w:rsid w:val="00605688"/>
    <w:rsid w:val="006070AF"/>
    <w:rsid w:val="00607E6C"/>
    <w:rsid w:val="006101B1"/>
    <w:rsid w:val="00614E44"/>
    <w:rsid w:val="00615F3C"/>
    <w:rsid w:val="0061749F"/>
    <w:rsid w:val="0062270A"/>
    <w:rsid w:val="00622830"/>
    <w:rsid w:val="00623DA0"/>
    <w:rsid w:val="00630AEF"/>
    <w:rsid w:val="006325F8"/>
    <w:rsid w:val="00633463"/>
    <w:rsid w:val="00634C9A"/>
    <w:rsid w:val="006425C2"/>
    <w:rsid w:val="006440E4"/>
    <w:rsid w:val="006562BB"/>
    <w:rsid w:val="00656F85"/>
    <w:rsid w:val="0066343B"/>
    <w:rsid w:val="00664777"/>
    <w:rsid w:val="006703F6"/>
    <w:rsid w:val="006748A4"/>
    <w:rsid w:val="00681A31"/>
    <w:rsid w:val="00683E73"/>
    <w:rsid w:val="00684DDE"/>
    <w:rsid w:val="006A1C78"/>
    <w:rsid w:val="006A3141"/>
    <w:rsid w:val="006A329B"/>
    <w:rsid w:val="006A5828"/>
    <w:rsid w:val="006A5E34"/>
    <w:rsid w:val="006B2422"/>
    <w:rsid w:val="006B2B9A"/>
    <w:rsid w:val="006C1937"/>
    <w:rsid w:val="006F020C"/>
    <w:rsid w:val="007127B7"/>
    <w:rsid w:val="0071791E"/>
    <w:rsid w:val="0071798E"/>
    <w:rsid w:val="007416B6"/>
    <w:rsid w:val="00746F48"/>
    <w:rsid w:val="0075404D"/>
    <w:rsid w:val="007555C3"/>
    <w:rsid w:val="0076182A"/>
    <w:rsid w:val="007641F2"/>
    <w:rsid w:val="00767B7E"/>
    <w:rsid w:val="007770C3"/>
    <w:rsid w:val="00784D24"/>
    <w:rsid w:val="007851D1"/>
    <w:rsid w:val="00785FBA"/>
    <w:rsid w:val="00786E4A"/>
    <w:rsid w:val="007875EB"/>
    <w:rsid w:val="0079426B"/>
    <w:rsid w:val="007C2703"/>
    <w:rsid w:val="007D1682"/>
    <w:rsid w:val="007D312A"/>
    <w:rsid w:val="007D3F19"/>
    <w:rsid w:val="007E23B0"/>
    <w:rsid w:val="007E23E5"/>
    <w:rsid w:val="007F1991"/>
    <w:rsid w:val="007F2C2F"/>
    <w:rsid w:val="007F55FC"/>
    <w:rsid w:val="007F5665"/>
    <w:rsid w:val="00800112"/>
    <w:rsid w:val="008111D0"/>
    <w:rsid w:val="00813348"/>
    <w:rsid w:val="008253BB"/>
    <w:rsid w:val="0083253C"/>
    <w:rsid w:val="0083706E"/>
    <w:rsid w:val="008408F6"/>
    <w:rsid w:val="008423A5"/>
    <w:rsid w:val="00846753"/>
    <w:rsid w:val="00850625"/>
    <w:rsid w:val="00853718"/>
    <w:rsid w:val="00855221"/>
    <w:rsid w:val="00860645"/>
    <w:rsid w:val="00861C2B"/>
    <w:rsid w:val="00871F71"/>
    <w:rsid w:val="00872FD8"/>
    <w:rsid w:val="00881EBD"/>
    <w:rsid w:val="00885AF4"/>
    <w:rsid w:val="008939CD"/>
    <w:rsid w:val="00895DEE"/>
    <w:rsid w:val="008972E3"/>
    <w:rsid w:val="008A235C"/>
    <w:rsid w:val="008A73A0"/>
    <w:rsid w:val="008B768C"/>
    <w:rsid w:val="008B7811"/>
    <w:rsid w:val="008C077D"/>
    <w:rsid w:val="008C0795"/>
    <w:rsid w:val="008C4DB1"/>
    <w:rsid w:val="008C4EAF"/>
    <w:rsid w:val="008C5176"/>
    <w:rsid w:val="008C7FD0"/>
    <w:rsid w:val="008E00B8"/>
    <w:rsid w:val="008E1DE7"/>
    <w:rsid w:val="008E707C"/>
    <w:rsid w:val="00900B08"/>
    <w:rsid w:val="00902155"/>
    <w:rsid w:val="00902FA3"/>
    <w:rsid w:val="00910CAD"/>
    <w:rsid w:val="00923564"/>
    <w:rsid w:val="0092392E"/>
    <w:rsid w:val="009315F9"/>
    <w:rsid w:val="0093234A"/>
    <w:rsid w:val="00933499"/>
    <w:rsid w:val="00935C98"/>
    <w:rsid w:val="00946945"/>
    <w:rsid w:val="00951248"/>
    <w:rsid w:val="0095152F"/>
    <w:rsid w:val="00954C49"/>
    <w:rsid w:val="00955E37"/>
    <w:rsid w:val="00963248"/>
    <w:rsid w:val="0097099F"/>
    <w:rsid w:val="00971997"/>
    <w:rsid w:val="00971FFC"/>
    <w:rsid w:val="0098660A"/>
    <w:rsid w:val="009931C3"/>
    <w:rsid w:val="009A32A1"/>
    <w:rsid w:val="009A7105"/>
    <w:rsid w:val="009A75BF"/>
    <w:rsid w:val="009B2C43"/>
    <w:rsid w:val="009B4EAE"/>
    <w:rsid w:val="009B7573"/>
    <w:rsid w:val="009C22F4"/>
    <w:rsid w:val="009C2A4B"/>
    <w:rsid w:val="009C2E98"/>
    <w:rsid w:val="009D3447"/>
    <w:rsid w:val="009D4711"/>
    <w:rsid w:val="009D70C0"/>
    <w:rsid w:val="009F1185"/>
    <w:rsid w:val="009F18CD"/>
    <w:rsid w:val="009F2A13"/>
    <w:rsid w:val="009F7527"/>
    <w:rsid w:val="00A023B5"/>
    <w:rsid w:val="00A04EB0"/>
    <w:rsid w:val="00A07098"/>
    <w:rsid w:val="00A12182"/>
    <w:rsid w:val="00A13CC1"/>
    <w:rsid w:val="00A16847"/>
    <w:rsid w:val="00A237D8"/>
    <w:rsid w:val="00A268C4"/>
    <w:rsid w:val="00A307CD"/>
    <w:rsid w:val="00A331C8"/>
    <w:rsid w:val="00A40A00"/>
    <w:rsid w:val="00A4142F"/>
    <w:rsid w:val="00A422EB"/>
    <w:rsid w:val="00A45BB7"/>
    <w:rsid w:val="00A56DF2"/>
    <w:rsid w:val="00A56E6E"/>
    <w:rsid w:val="00A67AB5"/>
    <w:rsid w:val="00A67E08"/>
    <w:rsid w:val="00A733B2"/>
    <w:rsid w:val="00A741C2"/>
    <w:rsid w:val="00A835B3"/>
    <w:rsid w:val="00A86EE2"/>
    <w:rsid w:val="00A91760"/>
    <w:rsid w:val="00A93B00"/>
    <w:rsid w:val="00A93C21"/>
    <w:rsid w:val="00AA2BCE"/>
    <w:rsid w:val="00AA6342"/>
    <w:rsid w:val="00AB64C9"/>
    <w:rsid w:val="00AC1054"/>
    <w:rsid w:val="00AC3C6A"/>
    <w:rsid w:val="00AD5620"/>
    <w:rsid w:val="00AD656B"/>
    <w:rsid w:val="00AD7C1B"/>
    <w:rsid w:val="00AE16BA"/>
    <w:rsid w:val="00AE1EBE"/>
    <w:rsid w:val="00B03C9D"/>
    <w:rsid w:val="00B060AE"/>
    <w:rsid w:val="00B10517"/>
    <w:rsid w:val="00B14E76"/>
    <w:rsid w:val="00B161B8"/>
    <w:rsid w:val="00B2048C"/>
    <w:rsid w:val="00B308D3"/>
    <w:rsid w:val="00B310B9"/>
    <w:rsid w:val="00B35F3F"/>
    <w:rsid w:val="00B36218"/>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71C9"/>
    <w:rsid w:val="00C33E72"/>
    <w:rsid w:val="00C354B2"/>
    <w:rsid w:val="00C35554"/>
    <w:rsid w:val="00C42709"/>
    <w:rsid w:val="00C533CC"/>
    <w:rsid w:val="00C5751C"/>
    <w:rsid w:val="00C61BFC"/>
    <w:rsid w:val="00C62B85"/>
    <w:rsid w:val="00C65438"/>
    <w:rsid w:val="00C87FD8"/>
    <w:rsid w:val="00C91381"/>
    <w:rsid w:val="00C91CBB"/>
    <w:rsid w:val="00CA1836"/>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4C9A"/>
    <w:rsid w:val="00D7035F"/>
    <w:rsid w:val="00DA1132"/>
    <w:rsid w:val="00DA634F"/>
    <w:rsid w:val="00DA65AC"/>
    <w:rsid w:val="00DB0274"/>
    <w:rsid w:val="00DB1913"/>
    <w:rsid w:val="00DC410D"/>
    <w:rsid w:val="00DC5A81"/>
    <w:rsid w:val="00DC68CA"/>
    <w:rsid w:val="00DC7CBA"/>
    <w:rsid w:val="00DD73B7"/>
    <w:rsid w:val="00DE1807"/>
    <w:rsid w:val="00DE3F5F"/>
    <w:rsid w:val="00DF28BC"/>
    <w:rsid w:val="00DF34B9"/>
    <w:rsid w:val="00E01053"/>
    <w:rsid w:val="00E07ACF"/>
    <w:rsid w:val="00E2230C"/>
    <w:rsid w:val="00E331A1"/>
    <w:rsid w:val="00E33202"/>
    <w:rsid w:val="00E336A9"/>
    <w:rsid w:val="00E33B4A"/>
    <w:rsid w:val="00E355FC"/>
    <w:rsid w:val="00E472B1"/>
    <w:rsid w:val="00E50624"/>
    <w:rsid w:val="00E53D64"/>
    <w:rsid w:val="00E54633"/>
    <w:rsid w:val="00E568DF"/>
    <w:rsid w:val="00E64269"/>
    <w:rsid w:val="00E82267"/>
    <w:rsid w:val="00E853CE"/>
    <w:rsid w:val="00E867B6"/>
    <w:rsid w:val="00EA010F"/>
    <w:rsid w:val="00EA3843"/>
    <w:rsid w:val="00EB4C73"/>
    <w:rsid w:val="00ED1B63"/>
    <w:rsid w:val="00ED3C1F"/>
    <w:rsid w:val="00ED4085"/>
    <w:rsid w:val="00ED420E"/>
    <w:rsid w:val="00ED6FBE"/>
    <w:rsid w:val="00EE2F57"/>
    <w:rsid w:val="00EE3773"/>
    <w:rsid w:val="00EE384E"/>
    <w:rsid w:val="00EF4C34"/>
    <w:rsid w:val="00EF77C6"/>
    <w:rsid w:val="00F03158"/>
    <w:rsid w:val="00F05438"/>
    <w:rsid w:val="00F1361C"/>
    <w:rsid w:val="00F156F0"/>
    <w:rsid w:val="00F160C7"/>
    <w:rsid w:val="00F2408F"/>
    <w:rsid w:val="00F240E9"/>
    <w:rsid w:val="00F3422D"/>
    <w:rsid w:val="00F36D8F"/>
    <w:rsid w:val="00F417B1"/>
    <w:rsid w:val="00F45853"/>
    <w:rsid w:val="00F5410F"/>
    <w:rsid w:val="00F602DF"/>
    <w:rsid w:val="00F754A1"/>
    <w:rsid w:val="00F81FD9"/>
    <w:rsid w:val="00F841AA"/>
    <w:rsid w:val="00F84A94"/>
    <w:rsid w:val="00F84C3B"/>
    <w:rsid w:val="00F85E5D"/>
    <w:rsid w:val="00F87E96"/>
    <w:rsid w:val="00FA23E8"/>
    <w:rsid w:val="00FB53E3"/>
    <w:rsid w:val="00FB66A3"/>
    <w:rsid w:val="00FC58FD"/>
    <w:rsid w:val="00FD3CC1"/>
    <w:rsid w:val="00FF1E02"/>
    <w:rsid w:val="00FF30B4"/>
    <w:rsid w:val="00FF4543"/>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482313"/>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02630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9">
    <w:name w:val="Body Text"/>
    <w:basedOn w:val="1"/>
    <w:link w:val="31"/>
    <w:qFormat/>
    <w:uiPriority w:val="99"/>
    <w:pPr>
      <w:spacing w:beforeLines="30"/>
    </w:pPr>
    <w:rPr>
      <w:rFonts w:ascii="仿宋_GB2312" w:eastAsia="仿宋_GB2312"/>
      <w:kern w:val="0"/>
      <w:sz w:val="30"/>
    </w:rPr>
  </w:style>
  <w:style w:type="paragraph" w:styleId="10">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11">
    <w:name w:val="toc 3"/>
    <w:basedOn w:val="1"/>
    <w:next w:val="1"/>
    <w:unhideWhenUsed/>
    <w:qFormat/>
    <w:uiPriority w:val="39"/>
    <w:pPr>
      <w:ind w:left="420"/>
      <w:jc w:val="left"/>
    </w:pPr>
    <w:rPr>
      <w:rFonts w:asciiTheme="minorHAnsi" w:hAnsiTheme="minorHAnsi" w:cstheme="minorHAnsi"/>
      <w:i/>
      <w:iCs/>
      <w:sz w:val="20"/>
      <w:szCs w:val="20"/>
    </w:rPr>
  </w:style>
  <w:style w:type="paragraph" w:styleId="12">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13">
    <w:name w:val="Balloon Text"/>
    <w:basedOn w:val="1"/>
    <w:link w:val="37"/>
    <w:semiHidden/>
    <w:unhideWhenUsed/>
    <w:qFormat/>
    <w:uiPriority w:val="99"/>
    <w:rPr>
      <w:sz w:val="18"/>
      <w:szCs w:val="18"/>
    </w:rPr>
  </w:style>
  <w:style w:type="paragraph" w:styleId="14">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99"/>
    <w:pPr>
      <w:spacing w:before="120" w:after="120"/>
      <w:jc w:val="left"/>
    </w:pPr>
    <w:rPr>
      <w:rFonts w:asciiTheme="minorHAnsi" w:hAnsiTheme="minorHAnsi" w:cstheme="minorHAnsi"/>
      <w:b/>
      <w:bCs/>
      <w:caps/>
      <w:sz w:val="20"/>
      <w:szCs w:val="20"/>
    </w:rPr>
  </w:style>
  <w:style w:type="paragraph" w:styleId="17">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18">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19">
    <w:name w:val="toc 2"/>
    <w:basedOn w:val="1"/>
    <w:next w:val="1"/>
    <w:unhideWhenUsed/>
    <w:qFormat/>
    <w:uiPriority w:val="39"/>
    <w:pPr>
      <w:ind w:left="210"/>
      <w:jc w:val="left"/>
    </w:pPr>
    <w:rPr>
      <w:rFonts w:asciiTheme="minorHAnsi" w:hAnsiTheme="minorHAnsi" w:cstheme="minorHAnsi"/>
      <w:smallCaps/>
      <w:sz w:val="20"/>
      <w:szCs w:val="20"/>
    </w:rPr>
  </w:style>
  <w:style w:type="paragraph" w:styleId="20">
    <w:name w:val="toc 9"/>
    <w:basedOn w:val="1"/>
    <w:next w:val="1"/>
    <w:autoRedefine/>
    <w:unhideWhenUsed/>
    <w:qFormat/>
    <w:uiPriority w:val="39"/>
    <w:pPr>
      <w:ind w:left="1680"/>
      <w:jc w:val="left"/>
    </w:pPr>
    <w:rPr>
      <w:rFonts w:asciiTheme="minorHAnsi" w:hAnsiTheme="minorHAnsi" w:cstheme="minorHAnsi"/>
      <w:sz w:val="18"/>
      <w:szCs w:val="18"/>
    </w:r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6">
    <w:name w:val="Header Char"/>
    <w:basedOn w:val="22"/>
    <w:semiHidden/>
    <w:qFormat/>
    <w:uiPriority w:val="99"/>
    <w:rPr>
      <w:rFonts w:ascii="Times New Roman" w:hAnsi="Times New Roman"/>
      <w:sz w:val="18"/>
      <w:szCs w:val="18"/>
    </w:rPr>
  </w:style>
  <w:style w:type="character" w:customStyle="1" w:styleId="27">
    <w:name w:val="页眉 Char"/>
    <w:link w:val="15"/>
    <w:semiHidden/>
    <w:qFormat/>
    <w:locked/>
    <w:uiPriority w:val="99"/>
    <w:rPr>
      <w:sz w:val="18"/>
    </w:rPr>
  </w:style>
  <w:style w:type="character" w:customStyle="1" w:styleId="28">
    <w:name w:val="Footer Char"/>
    <w:basedOn w:val="22"/>
    <w:semiHidden/>
    <w:qFormat/>
    <w:uiPriority w:val="99"/>
    <w:rPr>
      <w:rFonts w:ascii="Times New Roman" w:hAnsi="Times New Roman"/>
      <w:sz w:val="18"/>
      <w:szCs w:val="18"/>
    </w:rPr>
  </w:style>
  <w:style w:type="character" w:customStyle="1" w:styleId="29">
    <w:name w:val="页脚 Char"/>
    <w:link w:val="14"/>
    <w:qFormat/>
    <w:locked/>
    <w:uiPriority w:val="99"/>
    <w:rPr>
      <w:sz w:val="18"/>
    </w:rPr>
  </w:style>
  <w:style w:type="character" w:customStyle="1" w:styleId="30">
    <w:name w:val="Body Text Char"/>
    <w:basedOn w:val="22"/>
    <w:semiHidden/>
    <w:qFormat/>
    <w:uiPriority w:val="99"/>
    <w:rPr>
      <w:rFonts w:ascii="Times New Roman" w:hAnsi="Times New Roman"/>
      <w:szCs w:val="24"/>
    </w:rPr>
  </w:style>
  <w:style w:type="character" w:customStyle="1" w:styleId="31">
    <w:name w:val="正文文本 Char"/>
    <w:link w:val="9"/>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2"/>
    <w:link w:val="5"/>
    <w:qFormat/>
    <w:uiPriority w:val="9"/>
    <w:rPr>
      <w:rFonts w:ascii="Times New Roman" w:hAnsi="Times New Roman"/>
      <w:b/>
      <w:bCs/>
      <w:kern w:val="44"/>
      <w:sz w:val="44"/>
      <w:szCs w:val="44"/>
    </w:rPr>
  </w:style>
  <w:style w:type="character" w:customStyle="1" w:styleId="35">
    <w:name w:val="标题 2 Char"/>
    <w:basedOn w:val="22"/>
    <w:link w:val="6"/>
    <w:qFormat/>
    <w:uiPriority w:val="9"/>
    <w:rPr>
      <w:rFonts w:asciiTheme="majorHAnsi" w:hAnsiTheme="majorHAnsi" w:eastAsiaTheme="majorEastAsia" w:cstheme="majorBidi"/>
      <w:b/>
      <w:bCs/>
      <w:kern w:val="2"/>
      <w:sz w:val="32"/>
      <w:szCs w:val="32"/>
    </w:rPr>
  </w:style>
  <w:style w:type="paragraph" w:customStyle="1" w:styleId="36">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批注框文本 Char"/>
    <w:basedOn w:val="22"/>
    <w:link w:val="13"/>
    <w:semiHidden/>
    <w:qFormat/>
    <w:uiPriority w:val="99"/>
    <w:rPr>
      <w:rFonts w:ascii="Times New Roman" w:hAnsi="Times New Roman"/>
      <w:kern w:val="2"/>
      <w:sz w:val="18"/>
      <w:szCs w:val="18"/>
    </w:rPr>
  </w:style>
  <w:style w:type="character" w:customStyle="1" w:styleId="38">
    <w:name w:val="标题 3 Char"/>
    <w:basedOn w:val="22"/>
    <w:link w:val="7"/>
    <w:qFormat/>
    <w:uiPriority w:val="9"/>
    <w:rPr>
      <w:rFonts w:ascii="Times New Roman" w:hAnsi="Times New Roman"/>
      <w:b/>
      <w:bCs/>
      <w:kern w:val="2"/>
      <w:sz w:val="32"/>
      <w:szCs w:val="32"/>
    </w:rPr>
  </w:style>
  <w:style w:type="paragraph" w:customStyle="1" w:styleId="39">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40">
    <w:name w:val="四号正文"/>
    <w:basedOn w:val="1"/>
    <w:qFormat/>
    <w:uiPriority w:val="0"/>
    <w:pPr>
      <w:spacing w:line="360" w:lineRule="auto"/>
    </w:pPr>
    <w:rPr>
      <w:rFonts w:ascii="??" w:hAnsi="??"/>
      <w:color w:val="000000"/>
      <w:kern w:val="0"/>
      <w:sz w:val="28"/>
      <w:szCs w:val="21"/>
      <w:lang w:val="zh-CN"/>
    </w:rPr>
  </w:style>
  <w:style w:type="paragraph" w:customStyle="1" w:styleId="41">
    <w:name w:val="WPSOffice手动目录 1"/>
    <w:qFormat/>
    <w:uiPriority w:val="0"/>
    <w:pPr>
      <w:spacing w:after="160" w:line="278" w:lineRule="auto"/>
    </w:pPr>
    <w:rPr>
      <w:rFonts w:ascii="Calibri" w:hAnsi="Calibri" w:eastAsia="宋体" w:cs="Times New Roman"/>
      <w:lang w:val="en-US" w:eastAsia="zh-CN" w:bidi="ar-SA"/>
    </w:rPr>
  </w:style>
  <w:style w:type="paragraph" w:customStyle="1" w:styleId="42">
    <w:name w:val="WPSOffice手动目录 2"/>
    <w:qFormat/>
    <w:uiPriority w:val="0"/>
    <w:pPr>
      <w:spacing w:after="160" w:line="278" w:lineRule="auto"/>
      <w:ind w:left="200" w:leftChars="2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江林小学收、支决算总计变动情况图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2023                                       2024</c:v>
                </c:pt>
              </c:strCache>
            </c:strRef>
          </c:cat>
          <c:val>
            <c:numRef>
              <c:f>Sheet1!$B$2</c:f>
              <c:numCache>
                <c:formatCode>General</c:formatCode>
                <c:ptCount val="1"/>
                <c:pt idx="0">
                  <c:v>609.89</c:v>
                </c:pt>
              </c:numCache>
            </c:numRef>
          </c:val>
        </c:ser>
        <c:ser>
          <c:idx val="1"/>
          <c:order val="1"/>
          <c:tx>
            <c:strRef>
              <c:f>Sheet1!$C$1</c:f>
              <c:strCache>
                <c:ptCount val="1"/>
                <c:pt idx="0">
                  <c:v>系列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2023                                       2024</c:v>
                </c:pt>
              </c:strCache>
            </c:strRef>
          </c:cat>
          <c:val>
            <c:numRef>
              <c:f>Sheet1!$C$2</c:f>
              <c:numCache>
                <c:formatCode>General</c:formatCode>
                <c:ptCount val="1"/>
                <c:pt idx="0">
                  <c:v>720.69</c:v>
                </c:pt>
              </c:numCache>
            </c:numRef>
          </c:val>
        </c:ser>
        <c:dLbls>
          <c:showLegendKey val="0"/>
          <c:showVal val="1"/>
          <c:showCatName val="0"/>
          <c:showSerName val="0"/>
          <c:showPercent val="0"/>
          <c:showBubbleSize val="0"/>
        </c:dLbls>
        <c:gapWidth val="219"/>
        <c:overlap val="-27"/>
        <c:axId val="116741632"/>
        <c:axId val="116792704"/>
      </c:barChart>
      <c:catAx>
        <c:axId val="11674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6792704"/>
        <c:crosses val="autoZero"/>
        <c:auto val="1"/>
        <c:lblAlgn val="ctr"/>
        <c:lblOffset val="100"/>
        <c:noMultiLvlLbl val="0"/>
      </c:catAx>
      <c:valAx>
        <c:axId val="1167927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6741632"/>
        <c:crosses val="autoZero"/>
        <c:crossBetween val="between"/>
      </c:valAx>
      <c:spPr>
        <a:noFill/>
        <a:ln>
          <a:noFill/>
        </a:ln>
        <a:effectLst/>
      </c:spPr>
    </c:plotArea>
    <c:plotVisOnly val="1"/>
    <c:dispBlanksAs val="gap"/>
    <c:showDLblsOverMax val="0"/>
    <c:extLst>
      <c:ext uri="{0b15fc19-7d7d-44ad-8c2d-2c3a37ce22c3}">
        <chartProps xmlns="https://web.wps.cn/et/2018/main" chartId="{a5467402-c014-4c42-ab5a-26132f6f3bf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江林小学收入决算情况图   （单位：万元）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32503144947118"/>
                  <c:y val="-0.113562321737647"/>
                </c:manualLayout>
              </c:layout>
              <c:tx>
                <c:rich>
                  <a:bodyPr rot="0" spcFirstLastPara="1" vertOverflow="ellipsis" vert="horz" wrap="square" lIns="38100" tIns="19050" rIns="38100" bIns="19050" anchor="ctr" anchorCtr="1">
                    <a:noAutofit/>
                  </a:bodyPr>
                  <a:lstStyle/>
                  <a:p>
                    <a:fld id="{1e3b2b43-e5cf-4a98-993b-6006407bbc33}" type="VALUE">
                      <a:t>[VALUE]</a:t>
                    </a:fld>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139260355029586"/>
                      <c:h val="0.140289120206723"/>
                    </c:manualLayout>
                  </c15:layout>
                </c:ext>
              </c:extLst>
            </c:dLbl>
            <c:dLbl>
              <c:idx val="1"/>
              <c:layout>
                <c:manualLayout>
                  <c:x val="-0.167401924241718"/>
                  <c:y val="0.104144058263904"/>
                </c:manualLayout>
              </c:layout>
              <c:tx>
                <c:rich>
                  <a:bodyPr rot="0" spcFirstLastPara="1" vertOverflow="ellipsis" vert="horz" wrap="square" lIns="38100" tIns="19050" rIns="38100" bIns="19050" anchor="ctr" anchorCtr="1">
                    <a:noAutofit/>
                  </a:bodyPr>
                  <a:lstStyle/>
                  <a:p>
                    <a:fld id="{c377f011-12c3-4f3d-8a4a-179ebaaaac0c}" type="VALUE">
                      <a:t>[VALUE]</a:t>
                    </a:fld>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131686390532544"/>
                      <c:h val="0.1835087986883"/>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657.09</c:v>
                </c:pt>
                <c:pt idx="1">
                  <c:v>40.77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230572d8-4626-4ccd-a227-a9c1ee6b1d5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江林小学支出决算结构图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249123238707004"/>
                  <c:y val="-0.0501868482655884"/>
                </c:manualLayout>
              </c:layout>
              <c:tx>
                <c:rich>
                  <a:bodyPr rot="0" spcFirstLastPara="1" vertOverflow="ellipsis" vert="horz" wrap="square" lIns="38100" tIns="19050" rIns="38100" bIns="19050" anchor="ctr" anchorCtr="1">
                    <a:noAutofit/>
                  </a:bodyPr>
                  <a:lstStyle/>
                  <a:p>
                    <a:fld id="{b97eeb67-925c-4d2f-94ff-44d218a5e0c0}" type="VALUE">
                      <a:t>[VALUE]</a:t>
                    </a:fld>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128108423124741"/>
                      <c:h val="0.183621621621622"/>
                    </c:manualLayout>
                  </c15:layout>
                </c:ext>
              </c:extLst>
            </c:dLbl>
            <c:dLbl>
              <c:idx val="1"/>
              <c:layout>
                <c:manualLayout>
                  <c:x val="-0.0944045275590552"/>
                  <c:y val="0.186188125133007"/>
                </c:manualLayout>
              </c:layout>
              <c:tx>
                <c:rich>
                  <a:bodyPr rot="0" spcFirstLastPara="1" vertOverflow="ellipsis" vert="horz" wrap="square" lIns="38100" tIns="19050" rIns="38100" bIns="19050" anchor="ctr" anchorCtr="1">
                    <a:noAutofit/>
                  </a:bodyPr>
                  <a:lstStyle/>
                  <a:p>
                    <a:fld id="{eaa18abf-9e34-4215-9d4a-bc6526e00995}" type="VALUE">
                      <a:t>[VALUE]</a:t>
                    </a:fld>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131809210526316"/>
                      <c:h val="0.199919131730155"/>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523.25</c:v>
                </c:pt>
                <c:pt idx="1">
                  <c:v>175.61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5dc7c8f-2161-4d3d-95ef-e3bdce219ec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effectLst/>
              </a:rPr>
              <a:t>江林小学</a:t>
            </a:r>
            <a:r>
              <a:rPr lang="zh-CN" altLang="zh-CN" sz="1400" b="0" i="0" u="none" strike="noStrike" baseline="0">
                <a:effectLst/>
              </a:rPr>
              <a:t>财政拨款收、支决算总计变动情况</a:t>
            </a:r>
            <a:endParaRPr lang="zh-CN" altLang="en-US"/>
          </a:p>
        </c:rich>
      </c:tx>
      <c:layout>
        <c:manualLayout>
          <c:xMode val="edge"/>
          <c:yMode val="edge"/>
          <c:x val="0.173455514660566"/>
          <c:y val="0.035895901884534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572.19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2023                                     2024</c:v>
                </c:pt>
              </c:strCache>
            </c:strRef>
          </c:cat>
          <c:val>
            <c:numRef>
              <c:f>Sheet1!$B$2</c:f>
              <c:numCache>
                <c:formatCode>General</c:formatCode>
                <c:ptCount val="1"/>
                <c:pt idx="0">
                  <c:v>527.19</c:v>
                </c:pt>
              </c:numCache>
            </c:numRef>
          </c:val>
        </c:ser>
        <c:ser>
          <c:idx val="1"/>
          <c:order val="1"/>
          <c:tx>
            <c:strRef>
              <c:f>Sheet1!$C$1</c:f>
              <c:strCache>
                <c:ptCount val="1"/>
                <c:pt idx="0">
                  <c:v>系列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2023                                     2024</c:v>
                </c:pt>
              </c:strCache>
            </c:strRef>
          </c:cat>
          <c:val>
            <c:numRef>
              <c:f>Sheet1!$C$2</c:f>
              <c:numCache>
                <c:formatCode>General</c:formatCode>
                <c:ptCount val="1"/>
                <c:pt idx="0">
                  <c:v>657.09</c:v>
                </c:pt>
              </c:numCache>
            </c:numRef>
          </c:val>
        </c:ser>
        <c:dLbls>
          <c:showLegendKey val="0"/>
          <c:showVal val="1"/>
          <c:showCatName val="0"/>
          <c:showSerName val="0"/>
          <c:showPercent val="0"/>
          <c:showBubbleSize val="0"/>
        </c:dLbls>
        <c:gapWidth val="219"/>
        <c:overlap val="-27"/>
        <c:axId val="43475712"/>
        <c:axId val="43477632"/>
      </c:barChart>
      <c:catAx>
        <c:axId val="4347571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金额：万元</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477632"/>
        <c:crosses val="autoZero"/>
        <c:auto val="1"/>
        <c:lblAlgn val="ctr"/>
        <c:lblOffset val="100"/>
        <c:noMultiLvlLbl val="0"/>
      </c:catAx>
      <c:valAx>
        <c:axId val="434776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475712"/>
        <c:crosses val="autoZero"/>
        <c:crossBetween val="between"/>
      </c:valAx>
      <c:spPr>
        <a:noFill/>
        <a:ln>
          <a:noFill/>
        </a:ln>
        <a:effectLst/>
      </c:spPr>
    </c:plotArea>
    <c:plotVisOnly val="1"/>
    <c:dispBlanksAs val="gap"/>
    <c:showDLblsOverMax val="0"/>
    <c:extLst>
      <c:ext uri="{0b15fc19-7d7d-44ad-8c2d-2c3a37ce22c3}">
        <chartProps xmlns="https://web.wps.cn/et/2018/main" chartId="{85efe40b-0c14-4a11-9711-ac46ca47c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400" b="1" i="0" u="none" strike="noStrike" kern="1200" baseline="0">
                <a:solidFill>
                  <a:sysClr val="windowText" lastClr="000000">
                    <a:lumMod val="75000"/>
                    <a:lumOff val="25000"/>
                  </a:sysClr>
                </a:solidFill>
              </a:rPr>
              <a:t>一般公共预算财政拨款支出决算变动情况</a:t>
            </a:r>
            <a:endParaRPr lang="zh-CN" altLang="en-US" sz="1400" b="1" i="0" u="none" strike="noStrike" kern="1200" baseline="0">
              <a:solidFill>
                <a:sysClr val="windowText" lastClr="000000">
                  <a:lumMod val="75000"/>
                  <a:lumOff val="25000"/>
                </a:sysClr>
              </a:solidFill>
            </a:endParaRPr>
          </a:p>
        </c:rich>
      </c:tx>
      <c:layout>
        <c:manualLayout>
          <c:xMode val="edge"/>
          <c:yMode val="edge"/>
          <c:x val="0.173455514660566"/>
          <c:y val="0.035895901884534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572.19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2023                                     2024</c:v>
                </c:pt>
              </c:strCache>
            </c:strRef>
          </c:cat>
          <c:val>
            <c:numRef>
              <c:f>Sheet1!$B$2</c:f>
              <c:numCache>
                <c:formatCode>General</c:formatCode>
                <c:ptCount val="1"/>
                <c:pt idx="0">
                  <c:v>527.19</c:v>
                </c:pt>
              </c:numCache>
            </c:numRef>
          </c:val>
        </c:ser>
        <c:ser>
          <c:idx val="1"/>
          <c:order val="1"/>
          <c:tx>
            <c:strRef>
              <c:f>Sheet1!$C$1</c:f>
              <c:strCache>
                <c:ptCount val="1"/>
                <c:pt idx="0">
                  <c:v>系列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2023                                     2024</c:v>
                </c:pt>
              </c:strCache>
            </c:strRef>
          </c:cat>
          <c:val>
            <c:numRef>
              <c:f>Sheet1!$C$2</c:f>
              <c:numCache>
                <c:formatCode>General</c:formatCode>
                <c:ptCount val="1"/>
                <c:pt idx="0">
                  <c:v>657.09</c:v>
                </c:pt>
              </c:numCache>
            </c:numRef>
          </c:val>
        </c:ser>
        <c:dLbls>
          <c:showLegendKey val="0"/>
          <c:showVal val="1"/>
          <c:showCatName val="0"/>
          <c:showSerName val="0"/>
          <c:showPercent val="0"/>
          <c:showBubbleSize val="0"/>
        </c:dLbls>
        <c:gapWidth val="219"/>
        <c:overlap val="-27"/>
        <c:axId val="43498880"/>
        <c:axId val="43628032"/>
      </c:barChart>
      <c:catAx>
        <c:axId val="4349888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金额：万元</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628032"/>
        <c:crosses val="autoZero"/>
        <c:auto val="1"/>
        <c:lblAlgn val="ctr"/>
        <c:lblOffset val="100"/>
        <c:noMultiLvlLbl val="0"/>
      </c:catAx>
      <c:valAx>
        <c:axId val="43628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498880"/>
        <c:crosses val="autoZero"/>
        <c:crossBetween val="between"/>
      </c:valAx>
      <c:spPr>
        <a:noFill/>
        <a:ln>
          <a:noFill/>
        </a:ln>
        <a:effectLst/>
      </c:spPr>
    </c:plotArea>
    <c:plotVisOnly val="1"/>
    <c:dispBlanksAs val="gap"/>
    <c:showDLblsOverMax val="0"/>
    <c:extLst>
      <c:ext uri="{0b15fc19-7d7d-44ad-8c2d-2c3a37ce22c3}">
        <chartProps xmlns="https://web.wps.cn/et/2018/main" chartId="{c60b51f3-27c3-4d3e-8228-8d11a2726dd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c:v>
                </c:pt>
              </c:strCache>
            </c:strRef>
          </c:tx>
          <c:explosion val="0"/>
          <c:dPt>
            <c:idx val="0"/>
            <c:bubble3D val="0"/>
          </c:dPt>
          <c:dPt>
            <c:idx val="1"/>
            <c:bubble3D val="0"/>
          </c:dPt>
          <c:dPt>
            <c:idx val="2"/>
            <c:bubble3D val="0"/>
          </c:dPt>
          <c:dLbls>
            <c:dLbl>
              <c:idx val="0"/>
              <c:layout>
                <c:manualLayout>
                  <c:x val="0.106568511521589"/>
                  <c:y val="-0.10660822668939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506.7</a:t>
                    </a:r>
                    <a:endParaRPr lang="en-US" altLang="zh-CN"/>
                  </a:p>
                  <a:p>
                    <a:pPr>
                      <a:defRPr lang="zh-CN" sz="1000" b="0" i="0" u="none" strike="noStrike" kern="1200" baseline="0">
                        <a:solidFill>
                          <a:schemeClr val="tx1"/>
                        </a:solidFill>
                        <a:latin typeface="+mn-lt"/>
                        <a:ea typeface="+mn-ea"/>
                        <a:cs typeface="+mn-cs"/>
                      </a:defRPr>
                    </a:pPr>
                    <a:r>
                      <a:rPr lang="en-US" altLang="zh-CN"/>
                      <a:t>77.11%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2673962808417"/>
                  <c:y val="0.018175915153810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55.55</a:t>
                    </a:r>
                    <a:endParaRPr lang="en-US" altLang="zh-CN"/>
                  </a:p>
                  <a:p>
                    <a:pPr>
                      <a:defRPr lang="zh-CN" sz="1000" b="0" i="0" u="none" strike="noStrike" kern="1200" baseline="0">
                        <a:solidFill>
                          <a:schemeClr val="tx1"/>
                        </a:solidFill>
                        <a:latin typeface="+mn-lt"/>
                        <a:ea typeface="+mn-ea"/>
                        <a:cs typeface="+mn-cs"/>
                      </a:defRPr>
                    </a:pPr>
                    <a:r>
                      <a:rPr lang="en-US" altLang="zh-CN"/>
                      <a:t>8.45%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18056014691721"/>
                  <c:y val="0.013957414572116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41.67</a:t>
                    </a:r>
                    <a:endParaRPr lang="en-US" altLang="zh-CN"/>
                  </a:p>
                  <a:p>
                    <a:pPr>
                      <a:defRPr lang="zh-CN" sz="1000" b="0" i="0" u="none" strike="noStrike" kern="1200" baseline="0">
                        <a:solidFill>
                          <a:schemeClr val="tx1"/>
                        </a:solidFill>
                        <a:latin typeface="+mn-lt"/>
                        <a:ea typeface="+mn-ea"/>
                        <a:cs typeface="+mn-cs"/>
                      </a:defRPr>
                    </a:pPr>
                    <a:r>
                      <a:rPr lang="en-US" altLang="zh-CN"/>
                      <a:t>6.34%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教育支出</c:v>
                </c:pt>
                <c:pt idx="1">
                  <c:v>社会保障和就业支出</c:v>
                </c:pt>
                <c:pt idx="2">
                  <c:v>住房公积金</c:v>
                </c:pt>
              </c:strCache>
            </c:strRef>
          </c:cat>
          <c:val>
            <c:numRef>
              <c:f>Sheet1!$B$2:$B$4</c:f>
              <c:numCache>
                <c:formatCode>General</c:formatCode>
                <c:ptCount val="3"/>
                <c:pt idx="0">
                  <c:v>506.7</c:v>
                </c:pt>
                <c:pt idx="1">
                  <c:v>55.55</c:v>
                </c:pt>
                <c:pt idx="2">
                  <c:v>41.67</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54b054d-13d5-42b6-bd37-109c04799265}"/>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64B85-A828-4622-9873-CC4CE75E564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16953</Words>
  <Characters>17978</Characters>
  <Lines>138</Lines>
  <Paragraphs>38</Paragraphs>
  <TotalTime>318</TotalTime>
  <ScaleCrop>false</ScaleCrop>
  <LinksUpToDate>false</LinksUpToDate>
  <CharactersWithSpaces>18069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WPS_1701682564</cp:lastModifiedBy>
  <cp:lastPrinted>2025-08-06T17:34:00Z</cp:lastPrinted>
  <dcterms:modified xsi:type="dcterms:W3CDTF">2025-09-19T08:08:23Z</dcterms:modified>
  <dc:title>四川省***</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eyJoZGlkIjoiNDkwZTQ3ODM5M2E4ZTcxNGI1ZTIwYjZmZGZjMzQ0Y2EiLCJ1c2VySWQiOiIxNTYyNDk0NDgyIn0=</vt:lpwstr>
  </property>
</Properties>
</file>