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5</w:t>
      </w:r>
      <w:r>
        <w:rPr>
          <w:rFonts w:hint="eastAsia" w:ascii="方正小标宋_GBK" w:eastAsia="方正小标宋_GBK"/>
          <w:sz w:val="44"/>
          <w:szCs w:val="44"/>
        </w:rPr>
        <w:t>年攀枝花钒钛高新区预算绩效管理</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工作计划</w:t>
      </w:r>
    </w:p>
    <w:p>
      <w:pPr>
        <w:spacing w:line="600" w:lineRule="exact"/>
        <w:jc w:val="both"/>
        <w:rPr>
          <w:rFonts w:ascii="方正小标宋_GBK" w:eastAsia="方正小标宋_GBK"/>
          <w:sz w:val="36"/>
          <w:szCs w:val="36"/>
        </w:rPr>
      </w:pPr>
    </w:p>
    <w:p>
      <w:pPr>
        <w:spacing w:line="600" w:lineRule="exact"/>
        <w:ind w:firstLine="640"/>
        <w:rPr>
          <w:rFonts w:hint="eastAsia" w:ascii="仿宋_GB2312" w:hAnsi="黑体" w:eastAsia="仿宋_GB2312"/>
          <w:sz w:val="32"/>
          <w:szCs w:val="32"/>
        </w:rPr>
      </w:pPr>
      <w:bookmarkStart w:id="0" w:name="_GoBack"/>
      <w:r>
        <w:rPr>
          <w:rFonts w:hint="eastAsia" w:ascii="仿宋_GB2312" w:hAnsi="黑体" w:eastAsia="仿宋_GB2312"/>
          <w:sz w:val="32"/>
          <w:szCs w:val="32"/>
        </w:rPr>
        <w:t>2026年，钒钛高新区财政金融局将深入贯彻落实财政绩效监督“三管三必须”工作要求，紧扣预算管理主线，以提升财政资金配置效率和使用效益为核心，构建全流程、多层次、常态化的绩效管理体系，推动绩效管理与资金、项目、政策管理深度融合，为高新区高质量发展提供坚实保障。</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一、筑牢制度基础，健全责任落实机制</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1.完善配套制度体系：</w:t>
      </w:r>
      <w:r>
        <w:rPr>
          <w:rFonts w:hint="eastAsia" w:ascii="仿宋_GB2312" w:hAnsi="黑体" w:eastAsia="仿宋_GB2312"/>
          <w:sz w:val="32"/>
          <w:szCs w:val="32"/>
        </w:rPr>
        <w:t>对照市级“三管三必须”实施细则，结合高新区实际，细化制定本级绩效监督操作流程，明确财政部门、主管部门、实施单位的权责边界，构建多方联动的工作格局。</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2.压实分级管理责任：</w:t>
      </w:r>
      <w:r>
        <w:rPr>
          <w:rFonts w:hint="eastAsia" w:ascii="仿宋_GB2312" w:hAnsi="黑体" w:eastAsia="仿宋_GB2312"/>
          <w:sz w:val="32"/>
          <w:szCs w:val="32"/>
        </w:rPr>
        <w:t>强化财政部门牵头责任、主管部门主体责任和实施单位直接责任，将绩效管理纳入部门年度考核，推动责任层层传导、落实到位。</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3.健全协同联动机制：</w:t>
      </w:r>
      <w:r>
        <w:rPr>
          <w:rFonts w:hint="eastAsia" w:ascii="仿宋_GB2312" w:hAnsi="黑体" w:eastAsia="仿宋_GB2312"/>
          <w:sz w:val="32"/>
          <w:szCs w:val="32"/>
        </w:rPr>
        <w:t>加强与巡察、审计等部门的信息共享和沟通协调，建立问题线索移送、整改结果互认机制，形成监督合力。</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二、强化全流程管控，提升绩效管理质效</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（一）做精事前评估与目标管理</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1.深化事前绩效评估：</w:t>
      </w:r>
      <w:r>
        <w:rPr>
          <w:rFonts w:hint="eastAsia" w:ascii="仿宋_GB2312" w:hAnsi="黑体" w:eastAsia="仿宋_GB2312"/>
          <w:sz w:val="32"/>
          <w:szCs w:val="32"/>
        </w:rPr>
        <w:t>督促部门对新出台重大政策、新增预算项目等开展全覆盖自行评估，重点核查项目必要性、投入经济性和方案可行性；财政部门聚焦重点资金、重大项目开展重点评估，评估结果作为预算安排的必备依据。</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2.优化绩效目标编制：</w:t>
      </w:r>
      <w:r>
        <w:rPr>
          <w:rFonts w:hint="eastAsia" w:ascii="仿宋_GB2312" w:hAnsi="黑体" w:eastAsia="仿宋_GB2312"/>
          <w:sz w:val="32"/>
          <w:szCs w:val="32"/>
        </w:rPr>
        <w:t>推动绩效目标与预算编制“五同步”，督促部门细化量化绩效指标，确保目标规范完整、与预算匹配。</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（二）做细事中跟踪监控</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1.强化“双监控”机制：</w:t>
      </w:r>
      <w:r>
        <w:rPr>
          <w:rFonts w:hint="eastAsia" w:ascii="仿宋_GB2312" w:hAnsi="黑体" w:eastAsia="仿宋_GB2312"/>
          <w:sz w:val="32"/>
          <w:szCs w:val="32"/>
        </w:rPr>
        <w:t>依托预算管理一体化系统平台，对预算执行进度和绩效目标实现程度实行全时段、全覆盖监控，及时预警处置偏差。</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2.抓实线下核查整改：</w:t>
      </w:r>
      <w:r>
        <w:rPr>
          <w:rFonts w:hint="eastAsia" w:ascii="仿宋_GB2312" w:hAnsi="黑体" w:eastAsia="仿宋_GB2312"/>
          <w:sz w:val="32"/>
          <w:szCs w:val="32"/>
        </w:rPr>
        <w:t>针对线上监控疑点，开展“点对点”实地核查，对苗头性问题即时纠偏，对重大问题严肃处置，推动绩效监控与内部控制深度融合。</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（三）做深事后评价与结果运用</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1.拓展绩效评价范围：</w:t>
      </w:r>
      <w:r>
        <w:rPr>
          <w:rFonts w:hint="eastAsia" w:ascii="仿宋_GB2312" w:hAnsi="黑体" w:eastAsia="仿宋_GB2312"/>
          <w:sz w:val="32"/>
          <w:szCs w:val="32"/>
        </w:rPr>
        <w:t>构建“部门自评+财政重点评价”体系，实现“四本预算”资金及其他政府性资金评价全覆盖，重点聚焦民生保障、产业发展等领域重大政策和项目。</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2.强化结果刚性运用：</w:t>
      </w:r>
      <w:r>
        <w:rPr>
          <w:rFonts w:hint="eastAsia" w:ascii="仿宋_GB2312" w:hAnsi="黑体" w:eastAsia="仿宋_GB2312"/>
          <w:sz w:val="32"/>
          <w:szCs w:val="32"/>
        </w:rPr>
        <w:t>建立绩效评价结果与预算安排、政策调整直接挂钩机制，对绩效优良的项目优先保障预算，对绩效不佳的项目核减或取消预算</w:t>
      </w:r>
      <w:r>
        <w:rPr>
          <w:rFonts w:hint="eastAsia" w:ascii="仿宋_GB2312" w:hAnsi="黑体" w:eastAsia="仿宋_GB2312"/>
          <w:sz w:val="32"/>
          <w:szCs w:val="32"/>
          <w:lang w:val="en-US" w:eastAsia="zh-CN"/>
        </w:rPr>
        <w:t>,</w:t>
      </w:r>
      <w:r>
        <w:rPr>
          <w:rFonts w:hint="eastAsia" w:ascii="仿宋_GB2312" w:hAnsi="黑体" w:eastAsia="仿宋_GB2312"/>
          <w:sz w:val="32"/>
          <w:szCs w:val="32"/>
        </w:rPr>
        <w:t>督促问题整改闭环。</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三、聚焦重点领域，强化精准监督管控</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1.重点项目全生命周期管理：</w:t>
      </w:r>
      <w:r>
        <w:rPr>
          <w:rFonts w:hint="eastAsia" w:ascii="仿宋_GB2312" w:hAnsi="黑体" w:eastAsia="仿宋_GB2312"/>
          <w:sz w:val="32"/>
          <w:szCs w:val="32"/>
        </w:rPr>
        <w:t>围绕征地拆迁、基础设施建设、产业配套等重点项目，实施从立项到竣工的全流程绩效跟踪，同步监控支撑项目的政策落地成效。</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2.风险防控精准发力：</w:t>
      </w:r>
      <w:r>
        <w:rPr>
          <w:rFonts w:hint="eastAsia" w:ascii="仿宋_GB2312" w:hAnsi="黑体" w:eastAsia="仿宋_GB2312"/>
          <w:sz w:val="32"/>
          <w:szCs w:val="32"/>
        </w:rPr>
        <w:t>聚焦专项债项目、保障性安居工程等资金密集领域，建立风险预警机制，重点防范偿债风险和资金闲置问题；对绩效指标设置不规范、执行进度滞后的项目开展专项督导。</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3.民生资金专项监管：</w:t>
      </w:r>
      <w:r>
        <w:rPr>
          <w:rFonts w:hint="eastAsia" w:ascii="仿宋_GB2312" w:hAnsi="黑体" w:eastAsia="仿宋_GB2312"/>
          <w:sz w:val="32"/>
          <w:szCs w:val="32"/>
        </w:rPr>
        <w:t>加强对惠民惠农补贴、城市更新等民生资金的动态监控，确保资金精准直达、规范使用，切实提升群众获得感。</w:t>
      </w:r>
    </w:p>
    <w:p>
      <w:pPr>
        <w:spacing w:line="600" w:lineRule="exact"/>
        <w:ind w:firstLine="640"/>
        <w:rPr>
          <w:rFonts w:hint="eastAsia" w:ascii="仿宋_GB2312" w:hAnsi="黑体" w:eastAsia="仿宋_GB2312"/>
          <w:b/>
          <w:bCs/>
          <w:sz w:val="32"/>
          <w:szCs w:val="32"/>
        </w:rPr>
      </w:pPr>
      <w:r>
        <w:rPr>
          <w:rFonts w:hint="eastAsia" w:ascii="仿宋_GB2312" w:hAnsi="黑体" w:eastAsia="仿宋_GB2312"/>
          <w:b/>
          <w:bCs/>
          <w:sz w:val="32"/>
          <w:szCs w:val="32"/>
        </w:rPr>
        <w:t>四、夯实保障支撑，提升管理能力水平</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1.加强专业能力建设：</w:t>
      </w:r>
      <w:r>
        <w:rPr>
          <w:rFonts w:hint="eastAsia" w:ascii="仿宋_GB2312" w:hAnsi="黑体" w:eastAsia="仿宋_GB2312"/>
          <w:sz w:val="32"/>
          <w:szCs w:val="32"/>
        </w:rPr>
        <w:t>开展绩效管理和财会监督业务培训，重点提升基层人员对复杂项目的分析研判能力和信息化工具应用水平。</w:t>
      </w:r>
    </w:p>
    <w:p>
      <w:pPr>
        <w:spacing w:line="600" w:lineRule="exact"/>
        <w:ind w:firstLine="640"/>
        <w:rPr>
          <w:rFonts w:hint="eastAsia" w:ascii="仿宋_GB2312" w:hAnsi="黑体" w:eastAsia="仿宋_GB2312"/>
          <w:sz w:val="32"/>
          <w:szCs w:val="32"/>
        </w:rPr>
      </w:pPr>
      <w:r>
        <w:rPr>
          <w:rFonts w:hint="eastAsia" w:ascii="仿宋_GB2312" w:hAnsi="黑体" w:eastAsia="仿宋_GB2312"/>
          <w:b/>
          <w:bCs/>
          <w:sz w:val="32"/>
          <w:szCs w:val="32"/>
        </w:rPr>
        <w:t>2.推进信息化建设：</w:t>
      </w:r>
      <w:r>
        <w:rPr>
          <w:rFonts w:hint="eastAsia" w:ascii="仿宋_GB2312" w:hAnsi="黑体" w:eastAsia="仿宋_GB2312"/>
          <w:sz w:val="32"/>
          <w:szCs w:val="32"/>
        </w:rPr>
        <w:t>整合财政及相关部门公共数据资源，完善绩效监督数据库，依托大数据手段提升监控精准度和效率。</w:t>
      </w:r>
    </w:p>
    <w:p>
      <w:pPr>
        <w:spacing w:line="600" w:lineRule="exact"/>
        <w:ind w:firstLine="640"/>
        <w:rPr>
          <w:rFonts w:hint="eastAsia" w:ascii="仿宋_GB2312" w:hAnsi="黑体" w:eastAsia="仿宋_GB2312"/>
          <w:sz w:val="32"/>
          <w:szCs w:val="32"/>
          <w:lang w:val="en-US" w:eastAsia="zh-CN"/>
        </w:rPr>
      </w:pPr>
      <w:r>
        <w:rPr>
          <w:rFonts w:hint="eastAsia" w:ascii="仿宋_GB2312" w:hAnsi="黑体" w:eastAsia="仿宋_GB2312"/>
          <w:b/>
          <w:bCs/>
          <w:sz w:val="32"/>
          <w:szCs w:val="32"/>
        </w:rPr>
        <w:t>3.强化公开与问责：</w:t>
      </w:r>
      <w:r>
        <w:rPr>
          <w:rFonts w:hint="eastAsia" w:ascii="仿宋_GB2312" w:hAnsi="黑体" w:eastAsia="仿宋_GB2312"/>
          <w:sz w:val="32"/>
          <w:szCs w:val="32"/>
        </w:rPr>
        <w:t>依法公开绩效目标、评价报告等信息，主动接受人大和社会监督。</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NTQyMjBmZTYxYTJlMTVmZTA5Yzk2NWMzZWJkOWIifQ=="/>
  </w:docVars>
  <w:rsids>
    <w:rsidRoot w:val="009F7D6E"/>
    <w:rsid w:val="001C62A5"/>
    <w:rsid w:val="003161A9"/>
    <w:rsid w:val="006B615A"/>
    <w:rsid w:val="009F7D6E"/>
    <w:rsid w:val="00B97EBA"/>
    <w:rsid w:val="00BE409E"/>
    <w:rsid w:val="00E02BB2"/>
    <w:rsid w:val="0D4A2942"/>
    <w:rsid w:val="5F116316"/>
    <w:rsid w:val="73A81128"/>
    <w:rsid w:val="BFDFCD0F"/>
    <w:rsid w:val="EB6E5070"/>
    <w:rsid w:val="FD7EB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1216</Words>
  <Characters>1222</Characters>
  <Lines>8</Lines>
  <Paragraphs>2</Paragraphs>
  <TotalTime>13</TotalTime>
  <ScaleCrop>false</ScaleCrop>
  <LinksUpToDate>false</LinksUpToDate>
  <CharactersWithSpaces>1222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2023-01-21T02:12:00Z</dcterms:created>
  <dc:creator>黄枫旭</dc:creator>
  <cp:lastModifiedBy>user</cp:lastModifiedBy>
  <dcterms:modified xsi:type="dcterms:W3CDTF">2026-02-10T09:39:20Z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3ABB05D3618D410AA07735C43844329C_12</vt:lpwstr>
  </property>
  <property fmtid="{D5CDD505-2E9C-101B-9397-08002B2CF9AE}" pid="4" name="KSOTemplateDocerSaveRecord">
    <vt:lpwstr>eyJoZGlkIjoiYThhNTQyMjBmZTYxYTJlMTVmZTA5Yzk2NWMzZWJkOWIiLCJ1c2VySWQiOiIyNjU5NzM0OTgifQ==</vt:lpwstr>
  </property>
</Properties>
</file>