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r>
        <w:rPr>
          <w:rFonts w:hint="eastAsia" w:eastAsia="方正小标宋简体"/>
          <w:sz w:val="44"/>
          <w:szCs w:val="44"/>
        </w:rPr>
        <w:t>攀枝花市仁和区金江中小学</w:t>
      </w:r>
    </w:p>
    <w:p>
      <w:pPr>
        <w:spacing w:line="600" w:lineRule="exact"/>
        <w:jc w:val="center"/>
        <w:rPr>
          <w:rFonts w:eastAsia="方正小标宋简体"/>
          <w:sz w:val="44"/>
          <w:szCs w:val="44"/>
        </w:rPr>
      </w:pPr>
      <w:r>
        <w:rPr>
          <w:rFonts w:hint="eastAsia" w:eastAsia="方正小标宋简体"/>
          <w:sz w:val="44"/>
          <w:szCs w:val="44"/>
        </w:rPr>
        <w:t>2026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预算编制说明</w:t>
      </w:r>
    </w:p>
    <w:p>
      <w:pPr>
        <w:spacing w:line="600" w:lineRule="exact"/>
        <w:jc w:val="center"/>
        <w:rPr>
          <w:rFonts w:eastAsia="方正小标宋简体"/>
          <w:sz w:val="44"/>
          <w:szCs w:val="44"/>
          <w:u w:val="single"/>
        </w:rPr>
      </w:pPr>
    </w:p>
    <w:p>
      <w:pPr>
        <w:spacing w:line="400" w:lineRule="exact"/>
        <w:jc w:val="center"/>
        <w:rPr>
          <w:rFonts w:eastAsia="黑体"/>
        </w:rPr>
        <w:sectPr>
          <w:footerReference r:id="rId3" w:type="even"/>
          <w:pgSz w:w="11906" w:h="16838"/>
          <w:pgMar w:top="1247" w:right="1542" w:bottom="1247" w:left="2098" w:header="851" w:footer="992" w:gutter="0"/>
          <w:pgNumType w:fmt="numberInDash" w:start="1"/>
          <w:cols w:space="720" w:num="1"/>
          <w:docGrid w:type="lines" w:linePitch="435" w:charSpace="0"/>
        </w:sectPr>
      </w:pPr>
    </w:p>
    <w:p>
      <w:pPr>
        <w:spacing w:line="400" w:lineRule="exact"/>
        <w:jc w:val="center"/>
        <w:rPr>
          <w:rFonts w:eastAsia="黑体"/>
        </w:rPr>
      </w:pPr>
      <w:r>
        <w:rPr>
          <w:rFonts w:hint="eastAsia" w:eastAsia="黑体"/>
        </w:rPr>
        <w:t>目录</w:t>
      </w:r>
    </w:p>
    <w:p>
      <w:pPr>
        <w:spacing w:line="400" w:lineRule="exact"/>
        <w:ind w:firstLine="640" w:firstLineChars="200"/>
        <w:jc w:val="center"/>
        <w:rPr>
          <w:rFonts w:eastAsia="黑体"/>
        </w:rPr>
      </w:pPr>
    </w:p>
    <w:p>
      <w:pPr>
        <w:spacing w:line="560" w:lineRule="exact"/>
        <w:jc w:val="left"/>
        <w:rPr>
          <w:rFonts w:eastAsia="楷体_GB2312"/>
        </w:rPr>
      </w:pPr>
      <w:r>
        <w:rPr>
          <w:rFonts w:eastAsia="楷体_GB2312"/>
        </w:rPr>
        <w:t>一、基本职能及主要工作</w:t>
      </w:r>
      <w:r>
        <w:rPr>
          <w:rFonts w:hint="eastAsia" w:eastAsia="楷体_GB2312"/>
        </w:rPr>
        <w:t>.................................................</w:t>
      </w:r>
      <w:r>
        <w:rPr>
          <w:rFonts w:hint="eastAsia" w:eastAsia="楷体_GB2312"/>
          <w:lang w:val="en-US" w:eastAsia="zh-CN"/>
        </w:rPr>
        <w:t>.</w:t>
      </w:r>
      <w:bookmarkStart w:id="20" w:name="_GoBack"/>
      <w:bookmarkEnd w:id="20"/>
      <w:r>
        <w:rPr>
          <w:rFonts w:hint="eastAsia" w:eastAsia="楷体_GB2312"/>
        </w:rPr>
        <w:t>......1</w:t>
      </w:r>
    </w:p>
    <w:p>
      <w:pPr>
        <w:spacing w:line="560" w:lineRule="exact"/>
        <w:ind w:firstLine="640" w:firstLineChars="200"/>
        <w:jc w:val="left"/>
      </w:pPr>
      <w:r>
        <w:t>（一）</w:t>
      </w:r>
      <w:r>
        <w:rPr>
          <w:rFonts w:hint="eastAsia"/>
        </w:rPr>
        <w:t>金江中小学</w:t>
      </w:r>
      <w:r>
        <w:t>职能简介</w:t>
      </w:r>
      <w:r>
        <w:rPr>
          <w:rFonts w:hint="eastAsia" w:eastAsia="楷体_GB2312"/>
        </w:rPr>
        <w:t>.............................</w:t>
      </w:r>
      <w:r>
        <w:rPr>
          <w:rFonts w:hint="eastAsia" w:eastAsia="楷体_GB2312"/>
          <w:lang w:val="en-US" w:eastAsia="zh-CN"/>
        </w:rPr>
        <w:t>.........</w:t>
      </w:r>
      <w:r>
        <w:rPr>
          <w:rFonts w:hint="eastAsia" w:eastAsia="楷体_GB2312"/>
        </w:rPr>
        <w:t>......</w:t>
      </w:r>
      <w:r>
        <w:rPr>
          <w:rFonts w:hint="eastAsia"/>
        </w:rPr>
        <w:t>1</w:t>
      </w:r>
    </w:p>
    <w:p>
      <w:pPr>
        <w:spacing w:line="560" w:lineRule="exact"/>
        <w:ind w:firstLine="640" w:firstLineChars="200"/>
        <w:jc w:val="left"/>
      </w:pPr>
      <w:r>
        <w:t>（二）</w:t>
      </w:r>
      <w:r>
        <w:rPr>
          <w:rFonts w:hint="eastAsia"/>
        </w:rPr>
        <w:t>金江中小学2026</w:t>
      </w:r>
      <w:r>
        <w:t>年重点工作</w:t>
      </w:r>
      <w:r>
        <w:rPr>
          <w:rFonts w:hint="eastAsia" w:eastAsia="楷体_GB2312"/>
        </w:rPr>
        <w:t>................</w:t>
      </w:r>
      <w:r>
        <w:rPr>
          <w:rFonts w:hint="eastAsia" w:eastAsia="楷体_GB2312"/>
          <w:lang w:val="en-US" w:eastAsia="zh-CN"/>
        </w:rPr>
        <w:t>........</w:t>
      </w:r>
      <w:r>
        <w:rPr>
          <w:rFonts w:hint="eastAsia" w:eastAsia="楷体_GB2312"/>
        </w:rPr>
        <w:t>......</w:t>
      </w:r>
      <w:r>
        <w:rPr>
          <w:rFonts w:hint="eastAsia"/>
        </w:rPr>
        <w:t>1</w:t>
      </w:r>
    </w:p>
    <w:p>
      <w:pPr>
        <w:tabs>
          <w:tab w:val="left" w:pos="8000"/>
        </w:tabs>
        <w:spacing w:line="560" w:lineRule="exact"/>
        <w:jc w:val="left"/>
        <w:rPr>
          <w:rFonts w:eastAsia="楷体_GB2312"/>
        </w:rPr>
      </w:pPr>
      <w:r>
        <w:rPr>
          <w:rFonts w:eastAsia="楷体_GB2312"/>
        </w:rPr>
        <w:t>二、机构设置情况</w:t>
      </w:r>
      <w:r>
        <w:rPr>
          <w:rFonts w:hint="eastAsia" w:eastAsia="楷体_GB2312"/>
        </w:rPr>
        <w:t>....................................................................1</w:t>
      </w:r>
    </w:p>
    <w:p>
      <w:pPr>
        <w:spacing w:line="560" w:lineRule="exact"/>
        <w:jc w:val="left"/>
        <w:rPr>
          <w:rFonts w:eastAsia="楷体_GB2312"/>
        </w:rPr>
      </w:pPr>
      <w:r>
        <w:rPr>
          <w:rFonts w:eastAsia="楷体_GB2312"/>
        </w:rPr>
        <w:t>三、收支预算情况说明</w:t>
      </w:r>
      <w:r>
        <w:rPr>
          <w:rFonts w:hint="eastAsia" w:eastAsia="楷体_GB2312"/>
        </w:rPr>
        <w:t>............................................................2</w:t>
      </w:r>
    </w:p>
    <w:p>
      <w:pPr>
        <w:spacing w:line="560" w:lineRule="exact"/>
        <w:ind w:firstLine="640" w:firstLineChars="200"/>
        <w:jc w:val="left"/>
      </w:pPr>
      <w:r>
        <w:t>（一）收入预算情况</w:t>
      </w:r>
      <w:r>
        <w:rPr>
          <w:rFonts w:hint="eastAsia" w:eastAsia="楷体_GB2312"/>
        </w:rPr>
        <w:t>........................................................</w:t>
      </w:r>
      <w:r>
        <w:rPr>
          <w:rFonts w:hint="eastAsia"/>
        </w:rPr>
        <w:t>2</w:t>
      </w:r>
    </w:p>
    <w:p>
      <w:pPr>
        <w:spacing w:line="560" w:lineRule="exact"/>
        <w:ind w:firstLine="640" w:firstLineChars="200"/>
        <w:jc w:val="left"/>
        <w:rPr>
          <w:b/>
          <w:bCs/>
        </w:rPr>
      </w:pPr>
      <w:r>
        <w:t>（二）支出预算情况</w:t>
      </w:r>
      <w:r>
        <w:rPr>
          <w:rFonts w:hint="eastAsia" w:eastAsia="楷体_GB2312"/>
        </w:rPr>
        <w:t>........................................................</w:t>
      </w:r>
      <w:r>
        <w:rPr>
          <w:rFonts w:hint="eastAsia"/>
        </w:rPr>
        <w:t>2</w:t>
      </w:r>
    </w:p>
    <w:p>
      <w:pPr>
        <w:spacing w:line="560" w:lineRule="exact"/>
        <w:jc w:val="left"/>
        <w:rPr>
          <w:rFonts w:eastAsia="楷体_GB2312"/>
        </w:rPr>
      </w:pPr>
      <w:r>
        <w:rPr>
          <w:rFonts w:eastAsia="楷体_GB2312"/>
        </w:rPr>
        <w:t>四、财政拨款收支预算情况说明</w:t>
      </w:r>
      <w:r>
        <w:rPr>
          <w:rFonts w:hint="eastAsia" w:eastAsia="楷体_GB2312"/>
        </w:rPr>
        <w:t>............................................3</w:t>
      </w:r>
    </w:p>
    <w:p>
      <w:pPr>
        <w:spacing w:line="560" w:lineRule="exact"/>
        <w:jc w:val="left"/>
        <w:rPr>
          <w:rFonts w:eastAsia="楷体_GB2312"/>
        </w:rPr>
      </w:pPr>
      <w:r>
        <w:rPr>
          <w:rFonts w:eastAsia="楷体_GB2312"/>
        </w:rPr>
        <w:t>五、一般公共预算当年拨款情况说明</w:t>
      </w:r>
      <w:r>
        <w:rPr>
          <w:rFonts w:hint="eastAsia" w:eastAsia="楷体_GB2312"/>
        </w:rPr>
        <w:t>....................................3</w:t>
      </w:r>
    </w:p>
    <w:p>
      <w:pPr>
        <w:spacing w:line="560" w:lineRule="exact"/>
        <w:ind w:firstLine="640" w:firstLineChars="200"/>
        <w:jc w:val="left"/>
      </w:pPr>
      <w:r>
        <w:t>（一）一般公共预算当年拨款规模变化情况</w:t>
      </w:r>
      <w:r>
        <w:rPr>
          <w:rFonts w:hint="eastAsia" w:eastAsia="楷体_GB2312"/>
        </w:rPr>
        <w:t>................</w:t>
      </w:r>
      <w:r>
        <w:rPr>
          <w:rFonts w:hint="eastAsia"/>
        </w:rPr>
        <w:t>3</w:t>
      </w:r>
    </w:p>
    <w:p>
      <w:pPr>
        <w:spacing w:line="560" w:lineRule="exact"/>
        <w:ind w:firstLine="640" w:firstLineChars="200"/>
        <w:jc w:val="left"/>
      </w:pPr>
      <w:r>
        <w:t>（二）一般公共预算当年拨款结构情况</w:t>
      </w:r>
      <w:r>
        <w:rPr>
          <w:rFonts w:hint="eastAsia" w:eastAsia="楷体_GB2312"/>
        </w:rPr>
        <w:t>........................</w:t>
      </w:r>
      <w:r>
        <w:rPr>
          <w:rFonts w:hint="eastAsia"/>
        </w:rPr>
        <w:t>3</w:t>
      </w:r>
    </w:p>
    <w:p>
      <w:pPr>
        <w:spacing w:line="560" w:lineRule="exact"/>
        <w:ind w:firstLine="640" w:firstLineChars="200"/>
        <w:jc w:val="left"/>
      </w:pPr>
      <w:r>
        <w:t>（三）一般公共预算当年拨款具体使用情况</w:t>
      </w:r>
      <w:r>
        <w:rPr>
          <w:rFonts w:hint="eastAsia" w:eastAsia="楷体_GB2312"/>
        </w:rPr>
        <w:t>................</w:t>
      </w:r>
      <w:r>
        <w:rPr>
          <w:rFonts w:hint="eastAsia"/>
        </w:rPr>
        <w:t>3</w:t>
      </w:r>
    </w:p>
    <w:p>
      <w:pPr>
        <w:spacing w:line="560" w:lineRule="exact"/>
        <w:jc w:val="left"/>
        <w:rPr>
          <w:rFonts w:eastAsia="楷体_GB2312"/>
        </w:rPr>
      </w:pPr>
      <w:r>
        <w:rPr>
          <w:rFonts w:eastAsia="楷体_GB2312"/>
        </w:rPr>
        <w:t>六、一般公共预算基本支出情况说明</w:t>
      </w:r>
      <w:r>
        <w:rPr>
          <w:rFonts w:hint="eastAsia" w:eastAsia="楷体_GB2312"/>
        </w:rPr>
        <w:t>....................................5</w:t>
      </w:r>
    </w:p>
    <w:p>
      <w:pPr>
        <w:spacing w:line="560" w:lineRule="exact"/>
        <w:jc w:val="left"/>
        <w:rPr>
          <w:rFonts w:eastAsia="楷体_GB2312"/>
        </w:rPr>
      </w:pPr>
      <w:r>
        <w:rPr>
          <w:rFonts w:eastAsia="楷体_GB2312"/>
        </w:rPr>
        <w:t>七、“三公”经费财政拨款预算安排情况说明</w:t>
      </w:r>
      <w:r>
        <w:rPr>
          <w:rFonts w:hint="eastAsia" w:eastAsia="楷体_GB2312"/>
        </w:rPr>
        <w:t>........................5</w:t>
      </w:r>
    </w:p>
    <w:p>
      <w:pPr>
        <w:spacing w:line="560" w:lineRule="exact"/>
        <w:jc w:val="left"/>
        <w:rPr>
          <w:rFonts w:eastAsia="楷体_GB2312"/>
        </w:rPr>
      </w:pPr>
      <w:r>
        <w:rPr>
          <w:rFonts w:hint="eastAsia" w:eastAsia="楷体_GB2312"/>
        </w:rPr>
        <w:t>八</w:t>
      </w:r>
      <w:r>
        <w:rPr>
          <w:rFonts w:eastAsia="楷体_GB2312"/>
        </w:rPr>
        <w:t>、“三公”经费</w:t>
      </w:r>
      <w:r>
        <w:rPr>
          <w:rFonts w:hint="eastAsia" w:eastAsia="楷体_GB2312"/>
        </w:rPr>
        <w:t>非</w:t>
      </w:r>
      <w:r>
        <w:rPr>
          <w:rFonts w:eastAsia="楷体_GB2312"/>
        </w:rPr>
        <w:t>财政拨款预算安排情况说明</w:t>
      </w:r>
      <w:r>
        <w:rPr>
          <w:rFonts w:hint="eastAsia" w:eastAsia="楷体_GB2312"/>
        </w:rPr>
        <w:t>....................6</w:t>
      </w:r>
    </w:p>
    <w:p>
      <w:pPr>
        <w:spacing w:line="560" w:lineRule="exact"/>
        <w:jc w:val="left"/>
        <w:rPr>
          <w:rFonts w:eastAsia="楷体_GB2312"/>
        </w:rPr>
      </w:pPr>
      <w:r>
        <w:rPr>
          <w:rFonts w:eastAsia="楷体_GB2312"/>
        </w:rPr>
        <w:t>九、政府性基金预算支出情况说明</w:t>
      </w:r>
      <w:r>
        <w:rPr>
          <w:rFonts w:hint="eastAsia" w:eastAsia="楷体_GB2312"/>
        </w:rPr>
        <w:t>........................................7</w:t>
      </w:r>
    </w:p>
    <w:p>
      <w:pPr>
        <w:spacing w:line="560" w:lineRule="exact"/>
        <w:jc w:val="left"/>
        <w:rPr>
          <w:rFonts w:eastAsia="楷体_GB2312"/>
        </w:rPr>
      </w:pPr>
      <w:r>
        <w:rPr>
          <w:rFonts w:eastAsia="楷体_GB2312"/>
        </w:rPr>
        <w:t>十、国有资本经营预算情况说明</w:t>
      </w:r>
      <w:r>
        <w:rPr>
          <w:rFonts w:hint="eastAsia" w:eastAsia="楷体_GB2312"/>
        </w:rPr>
        <w:t>............................................7</w:t>
      </w:r>
    </w:p>
    <w:p>
      <w:pPr>
        <w:spacing w:line="560" w:lineRule="exact"/>
        <w:jc w:val="left"/>
        <w:rPr>
          <w:rFonts w:eastAsia="楷体_GB2312"/>
        </w:rPr>
      </w:pPr>
      <w:r>
        <w:rPr>
          <w:rFonts w:eastAsia="楷体_GB2312"/>
        </w:rPr>
        <w:t>十</w:t>
      </w:r>
      <w:r>
        <w:rPr>
          <w:rFonts w:hint="eastAsia" w:eastAsia="楷体_GB2312"/>
        </w:rPr>
        <w:t>一</w:t>
      </w:r>
      <w:r>
        <w:rPr>
          <w:rFonts w:eastAsia="楷体_GB2312"/>
        </w:rPr>
        <w:t>、其他重要事项的情况说明</w:t>
      </w:r>
      <w:r>
        <w:rPr>
          <w:rFonts w:hint="eastAsia" w:eastAsia="楷体_GB2312"/>
        </w:rPr>
        <w:t>............................................7</w:t>
      </w:r>
    </w:p>
    <w:p>
      <w:pPr>
        <w:spacing w:line="560" w:lineRule="exact"/>
        <w:ind w:firstLine="640" w:firstLineChars="200"/>
        <w:jc w:val="left"/>
      </w:pPr>
      <w:r>
        <w:t>（一）机关运行经费</w:t>
      </w:r>
      <w:r>
        <w:rPr>
          <w:rFonts w:hint="eastAsia" w:eastAsia="楷体_GB2312"/>
        </w:rPr>
        <w:t>........................................................</w:t>
      </w:r>
      <w:r>
        <w:rPr>
          <w:rFonts w:hint="eastAsia"/>
        </w:rPr>
        <w:t>7</w:t>
      </w:r>
    </w:p>
    <w:p>
      <w:pPr>
        <w:spacing w:line="560" w:lineRule="exact"/>
        <w:ind w:firstLine="640" w:firstLineChars="200"/>
        <w:jc w:val="left"/>
      </w:pPr>
      <w:r>
        <w:t>（二）政府采购情况</w:t>
      </w:r>
      <w:r>
        <w:rPr>
          <w:rFonts w:hint="eastAsia" w:eastAsia="楷体_GB2312"/>
        </w:rPr>
        <w:t>........................................................</w:t>
      </w:r>
      <w:r>
        <w:rPr>
          <w:rFonts w:hint="eastAsia"/>
        </w:rPr>
        <w:t>8</w:t>
      </w:r>
    </w:p>
    <w:p>
      <w:pPr>
        <w:spacing w:line="560" w:lineRule="exact"/>
        <w:ind w:firstLine="640" w:firstLineChars="200"/>
        <w:jc w:val="left"/>
      </w:pPr>
      <w:r>
        <w:t>（三）国有资产占有使用情况</w:t>
      </w:r>
      <w:r>
        <w:rPr>
          <w:rFonts w:hint="eastAsia" w:eastAsia="楷体_GB2312"/>
        </w:rPr>
        <w:t>........................................</w:t>
      </w:r>
      <w:r>
        <w:rPr>
          <w:rFonts w:hint="eastAsia"/>
        </w:rPr>
        <w:t>8</w:t>
      </w:r>
    </w:p>
    <w:p>
      <w:pPr>
        <w:spacing w:line="560" w:lineRule="exact"/>
        <w:ind w:firstLine="640" w:firstLineChars="200"/>
        <w:jc w:val="left"/>
      </w:pPr>
      <w:r>
        <w:t>（四）绩效目标设置情况</w:t>
      </w:r>
      <w:r>
        <w:rPr>
          <w:rFonts w:hint="eastAsia" w:eastAsia="楷体_GB2312"/>
        </w:rPr>
        <w:t>................................................</w:t>
      </w:r>
      <w:r>
        <w:rPr>
          <w:rFonts w:hint="eastAsia"/>
        </w:rPr>
        <w:t>8</w:t>
      </w:r>
    </w:p>
    <w:p>
      <w:pPr>
        <w:spacing w:line="560" w:lineRule="exact"/>
        <w:jc w:val="left"/>
        <w:rPr>
          <w:rFonts w:eastAsia="黑体"/>
        </w:rPr>
      </w:pPr>
      <w:r>
        <w:rPr>
          <w:rFonts w:eastAsia="楷体_GB2312"/>
        </w:rPr>
        <w:t>十</w:t>
      </w:r>
      <w:r>
        <w:rPr>
          <w:rFonts w:hint="eastAsia" w:eastAsia="楷体_GB2312"/>
        </w:rPr>
        <w:t>二</w:t>
      </w:r>
      <w:r>
        <w:rPr>
          <w:rFonts w:eastAsia="楷体_GB2312"/>
        </w:rPr>
        <w:t>、名词解释</w:t>
      </w:r>
      <w:r>
        <w:rPr>
          <w:rFonts w:hint="eastAsia" w:eastAsia="楷体_GB2312"/>
        </w:rPr>
        <w:t>........................................................................8</w:t>
      </w:r>
    </w:p>
    <w:p>
      <w:pPr>
        <w:spacing w:line="560" w:lineRule="exact"/>
        <w:rPr>
          <w:rFonts w:eastAsia="黑体"/>
        </w:rPr>
        <w:sectPr>
          <w:footerReference r:id="rId4" w:type="default"/>
          <w:pgSz w:w="11906" w:h="16838"/>
          <w:pgMar w:top="1247" w:right="1542" w:bottom="1247" w:left="2098" w:header="851" w:footer="992" w:gutter="0"/>
          <w:pgNumType w:fmt="numberInDash" w:start="1"/>
          <w:cols w:space="720" w:num="1"/>
          <w:docGrid w:type="lines" w:linePitch="435" w:charSpace="0"/>
        </w:sectPr>
      </w:pPr>
      <w:r>
        <w:rPr>
          <w:rFonts w:hint="eastAsia" w:eastAsia="楷体_GB2312"/>
        </w:rPr>
        <w:t>附件...........................................................................................11</w:t>
      </w:r>
    </w:p>
    <w:p>
      <w:pPr>
        <w:spacing w:line="600" w:lineRule="exact"/>
        <w:ind w:firstLine="640" w:firstLineChars="200"/>
        <w:rPr>
          <w:rFonts w:eastAsia="黑体"/>
        </w:rPr>
      </w:pPr>
      <w:r>
        <w:rPr>
          <w:rFonts w:eastAsia="黑体"/>
        </w:rPr>
        <w:t>一、基本职能及主要工作</w:t>
      </w:r>
    </w:p>
    <w:p>
      <w:pPr>
        <w:pStyle w:val="2"/>
        <w:adjustRightInd w:val="0"/>
        <w:spacing w:before="130" w:beforeLines="0" w:line="600" w:lineRule="exact"/>
        <w:ind w:firstLine="674" w:firstLineChars="210"/>
        <w:rPr>
          <w:rFonts w:ascii="Times New Roman"/>
          <w:sz w:val="32"/>
        </w:rPr>
      </w:pPr>
      <w:r>
        <w:rPr>
          <w:rFonts w:ascii="Times New Roman" w:eastAsia="楷体_GB2312"/>
          <w:b/>
          <w:sz w:val="32"/>
        </w:rPr>
        <w:t>（一）</w:t>
      </w:r>
      <w:r>
        <w:rPr>
          <w:rFonts w:hint="eastAsia" w:ascii="Times New Roman" w:eastAsia="楷体_GB2312"/>
          <w:b/>
          <w:sz w:val="32"/>
        </w:rPr>
        <w:t>金江中小学</w:t>
      </w:r>
      <w:r>
        <w:rPr>
          <w:rFonts w:ascii="Times New Roman" w:eastAsia="楷体_GB2312"/>
          <w:b/>
          <w:sz w:val="32"/>
        </w:rPr>
        <w:t>职能简介。</w:t>
      </w:r>
    </w:p>
    <w:p>
      <w:pPr>
        <w:spacing w:line="580" w:lineRule="exact"/>
        <w:ind w:firstLine="640" w:firstLineChars="200"/>
        <w:rPr>
          <w:rFonts w:cs="仿宋_GB2312"/>
        </w:rPr>
      </w:pPr>
      <w:r>
        <w:rPr>
          <w:rFonts w:hint="eastAsia" w:cs="仿宋_GB2312"/>
        </w:rPr>
        <w:t>完成九年义务教育小学阶段的义务教育。全面贯彻教育方针，创办特色学校。坚持正确的办学方向，全面贯彻党和国家的教育方针，做到依法治校，依法治教，依法治学，严格执行国家课程计划和教学大纲，开齐课程、开足课时，做到课程表与分工表和实际上课的“三个一致”。严肃校风校纪，杜绝了打骂、体罚学生或变相体罚学生的现象，使学校形成了善教、乐学的氛围，充分发挥学生特长，面向全体学生，扎实推进素质教育，从而逐步形成我校的办学特色。</w:t>
      </w:r>
    </w:p>
    <w:p>
      <w:pPr>
        <w:pStyle w:val="2"/>
        <w:adjustRightInd w:val="0"/>
        <w:spacing w:before="130" w:beforeLines="0" w:line="600" w:lineRule="exact"/>
        <w:ind w:firstLine="674" w:firstLineChars="210"/>
        <w:rPr>
          <w:rFonts w:ascii="Times New Roman"/>
          <w:bCs/>
          <w:sz w:val="32"/>
          <w:u w:val="single"/>
        </w:rPr>
      </w:pPr>
      <w:r>
        <w:rPr>
          <w:rFonts w:ascii="Times New Roman" w:eastAsia="楷体_GB2312"/>
          <w:b/>
          <w:sz w:val="32"/>
        </w:rPr>
        <w:t>（二）</w:t>
      </w:r>
      <w:r>
        <w:rPr>
          <w:rFonts w:hint="eastAsia" w:ascii="Times New Roman" w:eastAsia="楷体_GB2312"/>
          <w:b/>
          <w:sz w:val="32"/>
        </w:rPr>
        <w:t>金江中小学2026</w:t>
      </w:r>
      <w:r>
        <w:rPr>
          <w:rFonts w:ascii="Times New Roman" w:eastAsia="楷体_GB2312"/>
          <w:b/>
          <w:sz w:val="32"/>
        </w:rPr>
        <w:t>年重点工作。</w:t>
      </w:r>
    </w:p>
    <w:p>
      <w:pPr>
        <w:spacing w:line="580" w:lineRule="exact"/>
        <w:ind w:firstLine="640" w:firstLineChars="200"/>
      </w:pPr>
      <w:r>
        <w:rPr>
          <w:rFonts w:hint="eastAsia"/>
        </w:rPr>
        <w:t>1. 按照义务教育课程计划，开齐课程，开足课时，认真实施中小学的教育教学管理，全面推进素质教育，全面提高教育教学质量。</w:t>
      </w:r>
    </w:p>
    <w:p>
      <w:pPr>
        <w:spacing w:line="580" w:lineRule="exact"/>
        <w:ind w:firstLine="640" w:firstLineChars="200"/>
      </w:pPr>
      <w:r>
        <w:rPr>
          <w:rFonts w:hint="eastAsia"/>
        </w:rPr>
        <w:t>2. 宣传贯彻执行党和国家的教育方针、政策、法律法规等，坚持依法治教、依法治学，贯彻执行县教体局的行政规章制度。</w:t>
      </w:r>
    </w:p>
    <w:p>
      <w:pPr>
        <w:spacing w:line="580" w:lineRule="exact"/>
        <w:ind w:firstLine="640" w:firstLineChars="200"/>
      </w:pPr>
      <w:r>
        <w:rPr>
          <w:rFonts w:hint="eastAsia"/>
        </w:rPr>
        <w:t>3. 配合攀枝花市教育局制定符合党的教育方针和国家教育法律法规以及本校实际的教育发展规划和学校布局调整规划，并抓好组织实施和落实工作。</w:t>
      </w:r>
    </w:p>
    <w:p>
      <w:pPr>
        <w:pStyle w:val="2"/>
        <w:adjustRightInd w:val="0"/>
        <w:spacing w:before="130" w:beforeLines="0" w:line="600" w:lineRule="exact"/>
        <w:ind w:firstLine="672" w:firstLineChars="210"/>
        <w:rPr>
          <w:rFonts w:ascii="Times New Roman"/>
          <w:bCs/>
          <w:sz w:val="32"/>
          <w:u w:val="single"/>
        </w:rPr>
      </w:pPr>
      <w:r>
        <w:rPr>
          <w:rFonts w:hint="eastAsia" w:ascii="Times New Roman"/>
          <w:sz w:val="32"/>
        </w:rPr>
        <w:t>4. 巩固提高“两基”工作成果和整体水平，配合各级人民政府依法动员、组织适龄儿童少年入学，严格控制辍学。</w:t>
      </w:r>
    </w:p>
    <w:p>
      <w:pPr>
        <w:spacing w:line="600" w:lineRule="exact"/>
        <w:ind w:firstLine="640" w:firstLineChars="200"/>
        <w:rPr>
          <w:rFonts w:eastAsia="黑体"/>
        </w:rPr>
      </w:pPr>
      <w:r>
        <w:rPr>
          <w:rFonts w:eastAsia="黑体"/>
        </w:rPr>
        <w:t>二、机构设置情况</w:t>
      </w:r>
    </w:p>
    <w:p>
      <w:pPr>
        <w:pStyle w:val="2"/>
        <w:adjustRightInd w:val="0"/>
        <w:spacing w:before="130" w:beforeLines="0" w:line="600" w:lineRule="exact"/>
        <w:ind w:firstLine="672" w:firstLineChars="210"/>
        <w:rPr>
          <w:rFonts w:ascii="Times New Roman"/>
          <w:sz w:val="32"/>
        </w:rPr>
      </w:pPr>
      <w:r>
        <w:rPr>
          <w:rFonts w:hint="eastAsia" w:ascii="Times New Roman"/>
          <w:sz w:val="32"/>
        </w:rPr>
        <w:t>金江中小学</w:t>
      </w:r>
      <w:r>
        <w:rPr>
          <w:rFonts w:ascii="Times New Roman"/>
          <w:sz w:val="32"/>
        </w:rPr>
        <w:t>下属二级预算单位</w:t>
      </w:r>
      <w:r>
        <w:rPr>
          <w:rFonts w:hint="eastAsia" w:ascii="Times New Roman"/>
          <w:sz w:val="32"/>
        </w:rPr>
        <w:t>0</w:t>
      </w:r>
      <w:r>
        <w:rPr>
          <w:rFonts w:ascii="Times New Roman"/>
          <w:sz w:val="32"/>
        </w:rPr>
        <w:t>个，其中行政单位</w:t>
      </w:r>
      <w:r>
        <w:rPr>
          <w:rFonts w:hint="eastAsia" w:ascii="Times New Roman"/>
          <w:sz w:val="32"/>
        </w:rPr>
        <w:t>0</w:t>
      </w:r>
      <w:r>
        <w:rPr>
          <w:rFonts w:ascii="Times New Roman"/>
          <w:sz w:val="32"/>
        </w:rPr>
        <w:t>个，参照公务员法管理的事业单位</w:t>
      </w:r>
      <w:r>
        <w:rPr>
          <w:rFonts w:hint="eastAsia" w:ascii="Times New Roman"/>
          <w:sz w:val="32"/>
        </w:rPr>
        <w:t>0</w:t>
      </w:r>
      <w:r>
        <w:rPr>
          <w:rFonts w:ascii="Times New Roman"/>
          <w:sz w:val="32"/>
        </w:rPr>
        <w:t>个，其他事业单位</w:t>
      </w:r>
      <w:r>
        <w:rPr>
          <w:rFonts w:hint="eastAsia" w:ascii="Times New Roman"/>
          <w:sz w:val="32"/>
        </w:rPr>
        <w:t>0</w:t>
      </w:r>
      <w:r>
        <w:rPr>
          <w:rFonts w:ascii="Times New Roman"/>
          <w:sz w:val="32"/>
        </w:rPr>
        <w:t>个。主要包括：</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05" w:type="dxa"/>
          </w:tcPr>
          <w:p>
            <w:pPr>
              <w:pStyle w:val="6"/>
              <w:widowControl/>
              <w:spacing w:before="0" w:beforeAutospacing="0" w:after="0" w:afterAutospacing="0" w:line="600" w:lineRule="exact"/>
              <w:ind w:firstLine="640" w:firstLineChars="200"/>
              <w:jc w:val="both"/>
              <w:rPr>
                <w:rFonts w:cs="仿宋_GB2312"/>
                <w:sz w:val="32"/>
              </w:rPr>
            </w:pPr>
            <w:r>
              <w:rPr>
                <w:rFonts w:hint="eastAsia" w:cs="仿宋_GB2312"/>
                <w:sz w:val="32"/>
              </w:rPr>
              <w:t>序号</w:t>
            </w:r>
          </w:p>
        </w:tc>
        <w:tc>
          <w:tcPr>
            <w:tcW w:w="6282" w:type="dxa"/>
            <w:vAlign w:val="center"/>
          </w:tcPr>
          <w:p>
            <w:pPr>
              <w:pStyle w:val="6"/>
              <w:widowControl/>
              <w:spacing w:before="0" w:beforeAutospacing="0" w:after="0" w:afterAutospacing="0" w:line="600" w:lineRule="exact"/>
              <w:ind w:firstLine="640" w:firstLineChars="200"/>
              <w:jc w:val="center"/>
              <w:rPr>
                <w:rFonts w:cs="仿宋_GB2312"/>
                <w:sz w:val="32"/>
              </w:rPr>
            </w:pPr>
            <w:r>
              <w:rPr>
                <w:rFonts w:hint="eastAsia" w:cs="仿宋_GB2312"/>
                <w:sz w:val="32"/>
              </w:rPr>
              <w:t>预算单位名称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05" w:type="dxa"/>
          </w:tcPr>
          <w:p>
            <w:pPr>
              <w:pStyle w:val="6"/>
              <w:widowControl/>
              <w:spacing w:before="0" w:beforeAutospacing="0" w:after="0" w:afterAutospacing="0" w:line="600" w:lineRule="exact"/>
              <w:ind w:firstLine="640" w:firstLineChars="200"/>
              <w:jc w:val="both"/>
              <w:rPr>
                <w:rFonts w:cs="仿宋_GB2312"/>
                <w:sz w:val="32"/>
              </w:rPr>
            </w:pPr>
            <w:r>
              <w:rPr>
                <w:rFonts w:hint="eastAsia" w:cs="仿宋_GB2312"/>
                <w:sz w:val="32"/>
              </w:rPr>
              <w:t>1</w:t>
            </w:r>
          </w:p>
        </w:tc>
        <w:tc>
          <w:tcPr>
            <w:tcW w:w="6282" w:type="dxa"/>
          </w:tcPr>
          <w:p>
            <w:pPr>
              <w:pStyle w:val="6"/>
              <w:widowControl/>
              <w:spacing w:before="0" w:beforeAutospacing="0" w:after="0" w:afterAutospacing="0" w:line="600" w:lineRule="exact"/>
              <w:ind w:firstLine="640" w:firstLineChars="200"/>
              <w:jc w:val="center"/>
              <w:rPr>
                <w:rFonts w:cs="仿宋_GB2312"/>
                <w:sz w:val="32"/>
              </w:rPr>
            </w:pPr>
            <w:r>
              <w:rPr>
                <w:rFonts w:hint="eastAsia" w:cs="仿宋_GB2312"/>
                <w:sz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05" w:type="dxa"/>
          </w:tcPr>
          <w:p>
            <w:pPr>
              <w:pStyle w:val="6"/>
              <w:widowControl/>
              <w:spacing w:before="0" w:beforeAutospacing="0" w:after="0" w:afterAutospacing="0" w:line="600" w:lineRule="exact"/>
              <w:ind w:firstLine="640" w:firstLineChars="200"/>
              <w:jc w:val="both"/>
              <w:rPr>
                <w:rFonts w:cs="仿宋_GB2312"/>
                <w:sz w:val="32"/>
              </w:rPr>
            </w:pPr>
            <w:r>
              <w:rPr>
                <w:rFonts w:hint="eastAsia" w:cs="仿宋_GB2312"/>
                <w:sz w:val="32"/>
              </w:rPr>
              <w:t>2</w:t>
            </w:r>
          </w:p>
        </w:tc>
        <w:tc>
          <w:tcPr>
            <w:tcW w:w="6282" w:type="dxa"/>
          </w:tcPr>
          <w:p>
            <w:pPr>
              <w:pStyle w:val="6"/>
              <w:widowControl/>
              <w:spacing w:before="0" w:beforeAutospacing="0" w:after="0" w:afterAutospacing="0" w:line="600" w:lineRule="exact"/>
              <w:ind w:firstLine="640" w:firstLineChars="200"/>
              <w:jc w:val="center"/>
              <w:rPr>
                <w:rFonts w:cs="仿宋_GB2312"/>
                <w:sz w:val="32"/>
              </w:rPr>
            </w:pPr>
            <w:r>
              <w:rPr>
                <w:rFonts w:hint="eastAsia" w:cs="仿宋_GB2312"/>
                <w:sz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trPr>
        <w:tc>
          <w:tcPr>
            <w:tcW w:w="2005" w:type="dxa"/>
          </w:tcPr>
          <w:p>
            <w:pPr>
              <w:pStyle w:val="6"/>
              <w:widowControl/>
              <w:spacing w:before="0" w:beforeAutospacing="0" w:after="0" w:afterAutospacing="0" w:line="600" w:lineRule="exact"/>
              <w:ind w:firstLine="640" w:firstLineChars="200"/>
              <w:jc w:val="both"/>
              <w:rPr>
                <w:rFonts w:cs="仿宋_GB2312"/>
                <w:sz w:val="32"/>
              </w:rPr>
            </w:pPr>
            <w:r>
              <w:rPr>
                <w:rFonts w:hint="eastAsia" w:cs="仿宋_GB2312"/>
                <w:sz w:val="32"/>
              </w:rPr>
              <w:t>3</w:t>
            </w:r>
          </w:p>
        </w:tc>
        <w:tc>
          <w:tcPr>
            <w:tcW w:w="6282" w:type="dxa"/>
          </w:tcPr>
          <w:p>
            <w:pPr>
              <w:pStyle w:val="6"/>
              <w:widowControl/>
              <w:spacing w:before="0" w:beforeAutospacing="0" w:after="0" w:afterAutospacing="0" w:line="600" w:lineRule="exact"/>
              <w:ind w:firstLine="640" w:firstLineChars="200"/>
              <w:jc w:val="center"/>
              <w:rPr>
                <w:rFonts w:cs="仿宋_GB2312"/>
                <w:sz w:val="32"/>
              </w:rPr>
            </w:pPr>
            <w:r>
              <w:rPr>
                <w:rFonts w:hint="eastAsia" w:cs="仿宋_GB2312"/>
                <w:sz w:val="32"/>
              </w:rPr>
              <w:t>……</w:t>
            </w:r>
          </w:p>
        </w:tc>
      </w:tr>
    </w:tbl>
    <w:p>
      <w:pPr>
        <w:spacing w:line="600" w:lineRule="exact"/>
        <w:rPr>
          <w:rFonts w:eastAsia="黑体"/>
        </w:rPr>
      </w:pPr>
      <w:r>
        <w:rPr>
          <w:rFonts w:eastAsia="黑体"/>
        </w:rPr>
        <w:t>三、收支预算情况说明</w:t>
      </w:r>
    </w:p>
    <w:p>
      <w:pPr>
        <w:spacing w:line="600" w:lineRule="exact"/>
        <w:ind w:firstLine="640" w:firstLineChars="200"/>
      </w:pPr>
      <w:r>
        <w:t>按照综合预算的原则，</w:t>
      </w:r>
      <w:r>
        <w:rPr>
          <w:rFonts w:hint="eastAsia"/>
        </w:rPr>
        <w:t>金江中小学</w:t>
      </w:r>
      <w:r>
        <w:t>所有收入和支出均纳入部门预算管理。收入包括：一般公共预算拨款收入</w:t>
      </w:r>
      <w:r>
        <w:rPr>
          <w:rFonts w:hint="eastAsia"/>
        </w:rPr>
        <w:t>2088.04万元、政府性基金预算拨款收入0万元、国有资本经营预算拨款收入0万元、事业收入0万元</w:t>
      </w:r>
      <w:r>
        <w:t>；支出包括：</w:t>
      </w:r>
      <w:r>
        <w:rPr>
          <w:rFonts w:hint="eastAsia"/>
        </w:rPr>
        <w:t>一般公共服务支出0万元、外交支出0万元、</w:t>
      </w:r>
      <w:r>
        <w:t>教育支出</w:t>
      </w:r>
      <w:r>
        <w:rPr>
          <w:rFonts w:hint="eastAsia"/>
        </w:rPr>
        <w:t>1504.85万元、</w:t>
      </w:r>
      <w:bookmarkStart w:id="0" w:name="OLE_LINK1"/>
      <w:r>
        <w:rPr>
          <w:rFonts w:hint="eastAsia"/>
        </w:rPr>
        <w:t>社会保障和就业支出</w:t>
      </w:r>
      <w:bookmarkEnd w:id="0"/>
      <w:r>
        <w:rPr>
          <w:rFonts w:hint="eastAsia"/>
        </w:rPr>
        <w:t>326.11万元、卫生健康支出131.10万元、住房保障支出125.97万元</w:t>
      </w:r>
      <w:r>
        <w:t>。</w:t>
      </w:r>
      <w:r>
        <w:rPr>
          <w:rFonts w:hint="eastAsia"/>
        </w:rPr>
        <w:t>金江中小学2026</w:t>
      </w:r>
      <w:r>
        <w:t>年收支总预算</w:t>
      </w:r>
      <w:r>
        <w:rPr>
          <w:rFonts w:hint="eastAsia"/>
        </w:rPr>
        <w:t>2088.04</w:t>
      </w:r>
      <w:r>
        <w:t>万元,比</w:t>
      </w:r>
      <w:r>
        <w:rPr>
          <w:rFonts w:hint="eastAsia"/>
        </w:rPr>
        <w:t>2025</w:t>
      </w:r>
      <w:r>
        <w:t>年预算数增加</w:t>
      </w:r>
      <w:r>
        <w:rPr>
          <w:rFonts w:hint="eastAsia"/>
        </w:rPr>
        <w:t>278.09</w:t>
      </w:r>
      <w:r>
        <w:t>万元，主要是</w:t>
      </w:r>
      <w:bookmarkStart w:id="1" w:name="_Hlk222777698"/>
      <w:r>
        <w:rPr>
          <w:rFonts w:hint="eastAsia"/>
        </w:rPr>
        <w:t>社会保障和就业支出</w:t>
      </w:r>
      <w:r>
        <w:t>增加</w:t>
      </w:r>
      <w:bookmarkEnd w:id="1"/>
      <w:r>
        <w:t>。</w:t>
      </w:r>
    </w:p>
    <w:p>
      <w:pPr>
        <w:spacing w:line="600" w:lineRule="exact"/>
        <w:ind w:firstLine="642" w:firstLineChars="200"/>
        <w:rPr>
          <w:rFonts w:eastAsia="楷体_GB2312"/>
          <w:b/>
        </w:rPr>
      </w:pPr>
      <w:r>
        <w:rPr>
          <w:rFonts w:eastAsia="楷体_GB2312"/>
          <w:b/>
        </w:rPr>
        <w:t>（一）收入预算情况。</w:t>
      </w:r>
    </w:p>
    <w:p>
      <w:pPr>
        <w:spacing w:line="600" w:lineRule="exact"/>
        <w:ind w:firstLine="640" w:firstLineChars="200"/>
        <w:rPr>
          <w:color w:val="C00000"/>
        </w:rPr>
      </w:pPr>
      <w:r>
        <w:rPr>
          <w:rFonts w:hint="eastAsia"/>
        </w:rPr>
        <w:t>金江中小学2026年收入预算2088.04万元，其中：上年结转0万元，占0%；一般公共预算拨款收入2088.04万元，占100%；政府性基金预算拨款收入0万元，占0%；事业收入0万元，占0%。</w:t>
      </w:r>
    </w:p>
    <w:p>
      <w:pPr>
        <w:spacing w:line="600" w:lineRule="exact"/>
        <w:ind w:firstLine="642" w:firstLineChars="200"/>
        <w:rPr>
          <w:rFonts w:eastAsia="楷体_GB2312"/>
          <w:b/>
        </w:rPr>
      </w:pPr>
      <w:r>
        <w:rPr>
          <w:rFonts w:eastAsia="楷体_GB2312"/>
          <w:b/>
        </w:rPr>
        <w:t>（二）支出预算情况。</w:t>
      </w:r>
    </w:p>
    <w:p>
      <w:pPr>
        <w:spacing w:line="600" w:lineRule="exact"/>
        <w:ind w:firstLine="640" w:firstLineChars="200"/>
        <w:rPr>
          <w:color w:val="C00000"/>
          <w:u w:val="single"/>
        </w:rPr>
      </w:pPr>
      <w:r>
        <w:rPr>
          <w:rFonts w:hint="eastAsia"/>
        </w:rPr>
        <w:t>金江中小学2026年支出预算2088.04万元，其中：基本支出1754.46万元，占84.02%；项目支出333.58万元，占15.98%。</w:t>
      </w:r>
    </w:p>
    <w:p>
      <w:pPr>
        <w:spacing w:line="600" w:lineRule="exact"/>
        <w:ind w:firstLine="640" w:firstLineChars="200"/>
        <w:rPr>
          <w:rFonts w:eastAsia="黑体"/>
        </w:rPr>
      </w:pPr>
      <w:r>
        <w:rPr>
          <w:rFonts w:eastAsia="黑体"/>
        </w:rPr>
        <w:t>四、财政拨款收支预算情况说明</w:t>
      </w:r>
    </w:p>
    <w:p>
      <w:pPr>
        <w:spacing w:line="600" w:lineRule="exact"/>
        <w:ind w:firstLine="640" w:firstLineChars="200"/>
        <w:rPr>
          <w:rFonts w:eastAsia="黑体"/>
          <w:color w:val="C00000"/>
        </w:rPr>
      </w:pPr>
      <w:r>
        <w:rPr>
          <w:rFonts w:hint="eastAsia"/>
        </w:rPr>
        <w:t>金江中小学2026年财政拨款收支总预算2088.04万元。收入包括：本年一般公共预算拨款收入2088.04万元、政府性基金预算拨款收入0万元、国有资本经营预算拨款收入0万元、事业收入0万元；支出包括：一般公共服务支出0万元、外交支出0万元、教育支出1504.85万元、</w:t>
      </w:r>
      <w:bookmarkStart w:id="2" w:name="_Hlk222777813"/>
      <w:r>
        <w:rPr>
          <w:rFonts w:hint="eastAsia"/>
        </w:rPr>
        <w:t>社会保障和就业支出326.11万元、</w:t>
      </w:r>
      <w:bookmarkEnd w:id="2"/>
      <w:bookmarkStart w:id="3" w:name="_Hlk222777856"/>
      <w:r>
        <w:rPr>
          <w:rFonts w:hint="eastAsia"/>
        </w:rPr>
        <w:t>卫生健康支出131.10万元、</w:t>
      </w:r>
      <w:bookmarkEnd w:id="3"/>
      <w:r>
        <w:rPr>
          <w:rFonts w:hint="eastAsia"/>
        </w:rPr>
        <w:t>住房保障支出125.97万元。</w:t>
      </w:r>
    </w:p>
    <w:p>
      <w:pPr>
        <w:spacing w:line="600" w:lineRule="exact"/>
        <w:ind w:firstLine="640" w:firstLineChars="200"/>
        <w:rPr>
          <w:rFonts w:eastAsia="黑体"/>
        </w:rPr>
      </w:pPr>
      <w:r>
        <w:rPr>
          <w:rFonts w:eastAsia="黑体"/>
        </w:rPr>
        <w:t>五、一般公共预算当年拨款情况说明</w:t>
      </w:r>
    </w:p>
    <w:p>
      <w:pPr>
        <w:spacing w:line="600" w:lineRule="exact"/>
        <w:ind w:firstLine="642" w:firstLineChars="200"/>
        <w:rPr>
          <w:rFonts w:eastAsia="楷体_GB2312"/>
          <w:b/>
        </w:rPr>
      </w:pPr>
      <w:r>
        <w:rPr>
          <w:rFonts w:eastAsia="楷体_GB2312"/>
          <w:b/>
        </w:rPr>
        <w:t>（一）一般公共预算当年拨款规模变化情况。</w:t>
      </w:r>
    </w:p>
    <w:p>
      <w:pPr>
        <w:spacing w:line="600" w:lineRule="exact"/>
        <w:ind w:firstLine="640" w:firstLineChars="200"/>
      </w:pPr>
      <w:r>
        <w:rPr>
          <w:rFonts w:hint="eastAsia"/>
        </w:rPr>
        <w:t>金江中小学2026年一般公共预算当年拨款2088.04万元，比2025年预算数增加278.09万元，主要是社会保障和就业支出增加。</w:t>
      </w:r>
    </w:p>
    <w:p>
      <w:pPr>
        <w:spacing w:line="600" w:lineRule="exact"/>
        <w:ind w:firstLine="642" w:firstLineChars="200"/>
        <w:rPr>
          <w:rFonts w:eastAsia="楷体_GB2312"/>
          <w:b/>
        </w:rPr>
      </w:pPr>
      <w:r>
        <w:rPr>
          <w:rFonts w:eastAsia="楷体_GB2312"/>
          <w:b/>
        </w:rPr>
        <w:t>（二）一般公共预算当年拨款结构情况。</w:t>
      </w:r>
    </w:p>
    <w:p>
      <w:pPr>
        <w:spacing w:line="600" w:lineRule="exact"/>
        <w:ind w:firstLine="640" w:firstLineChars="200"/>
      </w:pPr>
      <w:r>
        <w:rPr>
          <w:rFonts w:hint="eastAsia"/>
        </w:rPr>
        <w:t>一般公共服务支出2088.04万元，占100%；外交支出0万元，占0%；学前教育支出184.88万元，小学教育支出1319.97万元，社会保障和就业支出326.11万元，卫生健康支出131.10万元，住房公积金支出125.97万元。</w:t>
      </w:r>
    </w:p>
    <w:p>
      <w:pPr>
        <w:spacing w:line="600" w:lineRule="exact"/>
        <w:ind w:firstLine="642" w:firstLineChars="200"/>
        <w:rPr>
          <w:rFonts w:eastAsia="楷体_GB2312"/>
          <w:b/>
        </w:rPr>
      </w:pPr>
      <w:r>
        <w:rPr>
          <w:rFonts w:eastAsia="楷体_GB2312"/>
          <w:b/>
        </w:rPr>
        <w:t>（三）一般公共预算当年拨款具体使用情况。</w:t>
      </w:r>
    </w:p>
    <w:p>
      <w:pPr>
        <w:spacing w:line="600" w:lineRule="exact"/>
        <w:ind w:firstLine="640" w:firstLineChars="200"/>
        <w:rPr>
          <w:rFonts w:eastAsia="楷体_GB2312"/>
          <w:b/>
        </w:rPr>
      </w:pPr>
      <w:bookmarkStart w:id="4" w:name="_Hlk222830428"/>
      <w:r>
        <w:t>1. 一般公共服务（类）</w:t>
      </w:r>
      <w:r>
        <w:rPr>
          <w:rFonts w:hint="eastAsia"/>
        </w:rPr>
        <w:t>教育</w:t>
      </w:r>
      <w:r>
        <w:t>（款）</w:t>
      </w:r>
      <w:r>
        <w:rPr>
          <w:rFonts w:hint="eastAsia"/>
        </w:rPr>
        <w:t>学前教育</w:t>
      </w:r>
      <w:r>
        <w:t>（项）</w:t>
      </w:r>
      <w:r>
        <w:rPr>
          <w:rFonts w:hint="eastAsia"/>
        </w:rPr>
        <w:t>2026</w:t>
      </w:r>
      <w:r>
        <w:t>年预算数为</w:t>
      </w:r>
      <w:r>
        <w:rPr>
          <w:rFonts w:hint="eastAsia"/>
          <w:color w:val="000000"/>
        </w:rPr>
        <w:t>184.88</w:t>
      </w:r>
      <w:r>
        <w:t>万元，主要用于</w:t>
      </w:r>
      <w:r>
        <w:rPr>
          <w:rFonts w:hint="eastAsia"/>
        </w:rPr>
        <w:t>：保障幼儿园正常运转和促进学生全面发展。</w:t>
      </w:r>
    </w:p>
    <w:p>
      <w:pPr>
        <w:spacing w:line="600" w:lineRule="exact"/>
        <w:ind w:firstLine="640" w:firstLineChars="200"/>
        <w:rPr>
          <w:rFonts w:eastAsia="楷体_GB2312"/>
          <w:b/>
        </w:rPr>
      </w:pPr>
      <w:r>
        <w:rPr>
          <w:rFonts w:hint="eastAsia"/>
        </w:rPr>
        <w:t>2.</w:t>
      </w:r>
      <w:r>
        <w:t xml:space="preserve"> </w:t>
      </w:r>
      <w:bookmarkStart w:id="5" w:name="_Hlk222760734"/>
      <w:r>
        <w:t>一般公共服务（类）</w:t>
      </w:r>
      <w:r>
        <w:rPr>
          <w:rFonts w:hint="eastAsia"/>
        </w:rPr>
        <w:t>教育</w:t>
      </w:r>
      <w:r>
        <w:t>（款）</w:t>
      </w:r>
      <w:r>
        <w:rPr>
          <w:rFonts w:hint="eastAsia"/>
        </w:rPr>
        <w:t>小学教育</w:t>
      </w:r>
      <w:r>
        <w:t>（项）</w:t>
      </w:r>
      <w:r>
        <w:rPr>
          <w:rFonts w:hint="eastAsia"/>
        </w:rPr>
        <w:t>2026</w:t>
      </w:r>
      <w:r>
        <w:t>年预算数为</w:t>
      </w:r>
      <w:r>
        <w:rPr>
          <w:rFonts w:hint="eastAsia"/>
          <w:color w:val="000000"/>
        </w:rPr>
        <w:t>1319.97</w:t>
      </w:r>
      <w:r>
        <w:t>万元，主要用于</w:t>
      </w:r>
      <w:r>
        <w:rPr>
          <w:rFonts w:hint="eastAsia"/>
        </w:rPr>
        <w:t>：</w:t>
      </w:r>
      <w:bookmarkEnd w:id="5"/>
      <w:r>
        <w:rPr>
          <w:rFonts w:hint="eastAsia"/>
        </w:rPr>
        <w:t>保障学校正常运转和促进学生全面发展。</w:t>
      </w:r>
    </w:p>
    <w:bookmarkEnd w:id="4"/>
    <w:p>
      <w:pPr>
        <w:widowControl/>
        <w:spacing w:line="600" w:lineRule="exact"/>
        <w:ind w:firstLine="640" w:firstLineChars="200"/>
      </w:pPr>
      <w:r>
        <w:rPr>
          <w:rFonts w:hint="eastAsia"/>
        </w:rPr>
        <w:t>3.</w:t>
      </w:r>
      <w:r>
        <w:t xml:space="preserve"> </w:t>
      </w:r>
      <w:bookmarkStart w:id="6" w:name="_Hlk222824872"/>
      <w:r>
        <w:rPr>
          <w:rFonts w:hint="eastAsia"/>
        </w:rPr>
        <w:t>社会保障和就业</w:t>
      </w:r>
      <w:r>
        <w:t>（类）</w:t>
      </w:r>
      <w:r>
        <w:rPr>
          <w:rFonts w:hint="eastAsia"/>
        </w:rPr>
        <w:t>行政事业单位养老</w:t>
      </w:r>
      <w:r>
        <w:t>（款）</w:t>
      </w:r>
      <w:bookmarkEnd w:id="6"/>
      <w:bookmarkStart w:id="7" w:name="_Hlk222824833"/>
      <w:r>
        <w:rPr>
          <w:rFonts w:hint="eastAsia"/>
        </w:rPr>
        <w:t>机关事业单位基本养老保险缴费支出</w:t>
      </w:r>
      <w:bookmarkEnd w:id="7"/>
      <w:bookmarkStart w:id="8" w:name="_Hlk222824912"/>
      <w:r>
        <w:t>（项）</w:t>
      </w:r>
      <w:bookmarkEnd w:id="8"/>
      <w:r>
        <w:rPr>
          <w:rFonts w:hint="eastAsia"/>
        </w:rPr>
        <w:t>2026</w:t>
      </w:r>
      <w:r>
        <w:t>年预算数为</w:t>
      </w:r>
      <w:r>
        <w:rPr>
          <w:rFonts w:hint="eastAsia"/>
        </w:rPr>
        <w:t>167.96万元，主要用于：机关事业单位基本养老保险支出。</w:t>
      </w:r>
    </w:p>
    <w:p>
      <w:pPr>
        <w:widowControl/>
        <w:spacing w:line="600" w:lineRule="exact"/>
        <w:ind w:firstLine="640" w:firstLineChars="200"/>
      </w:pPr>
      <w:r>
        <w:rPr>
          <w:rFonts w:hint="eastAsia"/>
        </w:rPr>
        <w:t xml:space="preserve">4. </w:t>
      </w:r>
      <w:bookmarkStart w:id="9" w:name="_Hlk222825072"/>
      <w:r>
        <w:rPr>
          <w:rFonts w:hint="eastAsia"/>
        </w:rPr>
        <w:t>社会保障和就业</w:t>
      </w:r>
      <w:r>
        <w:t>（类）</w:t>
      </w:r>
      <w:r>
        <w:rPr>
          <w:rFonts w:hint="eastAsia"/>
        </w:rPr>
        <w:t>行政事业单位养老</w:t>
      </w:r>
      <w:r>
        <w:t>（款）</w:t>
      </w:r>
      <w:bookmarkEnd w:id="9"/>
      <w:bookmarkStart w:id="10" w:name="_Hlk222824975"/>
      <w:r>
        <w:rPr>
          <w:rFonts w:hint="eastAsia"/>
        </w:rPr>
        <w:t>机关事业单位职业年金缴费支出</w:t>
      </w:r>
      <w:bookmarkEnd w:id="10"/>
      <w:bookmarkStart w:id="11" w:name="_Hlk222825082"/>
      <w:r>
        <w:t>（项）</w:t>
      </w:r>
      <w:bookmarkEnd w:id="11"/>
      <w:bookmarkStart w:id="12" w:name="_Hlk222825091"/>
      <w:r>
        <w:rPr>
          <w:rFonts w:hint="eastAsia"/>
        </w:rPr>
        <w:t>2026</w:t>
      </w:r>
      <w:r>
        <w:t>年预算数为</w:t>
      </w:r>
      <w:bookmarkEnd w:id="12"/>
      <w:r>
        <w:rPr>
          <w:rFonts w:hint="eastAsia"/>
        </w:rPr>
        <w:t>20万元，主要用于：机关事业单位职业年金支出。</w:t>
      </w:r>
    </w:p>
    <w:p>
      <w:pPr>
        <w:widowControl/>
        <w:spacing w:line="600" w:lineRule="exact"/>
        <w:ind w:firstLine="640" w:firstLineChars="200"/>
      </w:pPr>
      <w:r>
        <w:rPr>
          <w:rFonts w:hint="eastAsia"/>
        </w:rPr>
        <w:t>5. 社会保障和就业</w:t>
      </w:r>
      <w:r>
        <w:t>（类）</w:t>
      </w:r>
      <w:r>
        <w:rPr>
          <w:rFonts w:hint="eastAsia"/>
        </w:rPr>
        <w:t>行政事业单位养老</w:t>
      </w:r>
      <w:r>
        <w:t>（款）</w:t>
      </w:r>
      <w:r>
        <w:rPr>
          <w:rFonts w:hint="eastAsia"/>
        </w:rPr>
        <w:t>其他行政事业单位养老支出</w:t>
      </w:r>
      <w:r>
        <w:t>（项）</w:t>
      </w:r>
      <w:r>
        <w:rPr>
          <w:rFonts w:hint="eastAsia"/>
        </w:rPr>
        <w:t>2026</w:t>
      </w:r>
      <w:r>
        <w:t>年预算数为</w:t>
      </w:r>
      <w:r>
        <w:rPr>
          <w:rFonts w:hint="eastAsia"/>
        </w:rPr>
        <w:t>138.15万元，主要用于：其他行政事业单位养老支出。</w:t>
      </w:r>
    </w:p>
    <w:p>
      <w:pPr>
        <w:widowControl/>
        <w:spacing w:line="600" w:lineRule="exact"/>
        <w:ind w:firstLine="640" w:firstLineChars="200"/>
      </w:pPr>
      <w:r>
        <w:rPr>
          <w:rFonts w:hint="eastAsia"/>
        </w:rPr>
        <w:t>6.卫生健康支出（类）行政事业单位医疗（款）事业单位医疗（项）2026</w:t>
      </w:r>
      <w:r>
        <w:t>年预算数为</w:t>
      </w:r>
      <w:r>
        <w:rPr>
          <w:rFonts w:hint="eastAsia"/>
        </w:rPr>
        <w:t>89.11万元，主要用于：保障学校工作人员的基本医疗需求。</w:t>
      </w:r>
    </w:p>
    <w:p>
      <w:pPr>
        <w:widowControl/>
        <w:spacing w:line="600" w:lineRule="exact"/>
        <w:ind w:firstLine="640" w:firstLineChars="200"/>
      </w:pPr>
      <w:r>
        <w:rPr>
          <w:rFonts w:hint="eastAsia"/>
        </w:rPr>
        <w:t>7. 卫生健康支出（类）行政事业单位医疗（款）公务员医疗补助（项）</w:t>
      </w:r>
      <w:bookmarkStart w:id="13" w:name="_Hlk222825645"/>
      <w:r>
        <w:rPr>
          <w:rFonts w:hint="eastAsia"/>
        </w:rPr>
        <w:t>2026</w:t>
      </w:r>
      <w:r>
        <w:t>年预算数为</w:t>
      </w:r>
      <w:bookmarkEnd w:id="13"/>
      <w:r>
        <w:rPr>
          <w:rFonts w:hint="eastAsia"/>
        </w:rPr>
        <w:t>41.99万元，主要用于：反映财政部门安排的公务员医疗补助经费。</w:t>
      </w:r>
    </w:p>
    <w:p>
      <w:pPr>
        <w:widowControl/>
        <w:spacing w:line="600" w:lineRule="exact"/>
        <w:ind w:firstLine="640" w:firstLineChars="200"/>
      </w:pPr>
      <w:r>
        <w:rPr>
          <w:rFonts w:hint="eastAsia"/>
        </w:rPr>
        <w:t>8. 住房保障（类）住房改革（款）住房公积金（项）2026</w:t>
      </w:r>
      <w:r>
        <w:t>年预算数为</w:t>
      </w:r>
      <w:r>
        <w:rPr>
          <w:rFonts w:hint="eastAsia"/>
        </w:rPr>
        <w:t>125.97万元，主要用于：单位按照国家政策规定缴纳在职人员住房公积金的支出。</w:t>
      </w:r>
    </w:p>
    <w:p>
      <w:pPr>
        <w:spacing w:line="600" w:lineRule="exact"/>
        <w:ind w:firstLine="640" w:firstLineChars="200"/>
        <w:rPr>
          <w:rFonts w:eastAsia="黑体"/>
        </w:rPr>
      </w:pPr>
      <w:r>
        <w:rPr>
          <w:rFonts w:eastAsia="黑体"/>
        </w:rPr>
        <w:t>六、一般公共预算基本支出情况说明</w:t>
      </w:r>
    </w:p>
    <w:p>
      <w:pPr>
        <w:spacing w:line="600" w:lineRule="exact"/>
        <w:ind w:firstLine="640" w:firstLineChars="200"/>
      </w:pPr>
      <w:r>
        <w:rPr>
          <w:rFonts w:hint="eastAsia"/>
        </w:rPr>
        <w:t>金江中小学2026年一般公共预算基本支出1754.46万元，其中：</w:t>
      </w:r>
    </w:p>
    <w:p>
      <w:pPr>
        <w:spacing w:line="600" w:lineRule="exact"/>
        <w:ind w:firstLine="640" w:firstLineChars="200"/>
      </w:pPr>
      <w:r>
        <w:rPr>
          <w:rFonts w:hint="eastAsia"/>
        </w:rPr>
        <w:t>人员经费1692.67万元，主要包括：基本工资447.96万元、津贴补贴110.51万元、绩效工资540.30万元、职工基本养老保险缴费167.96万元、职业年金缴费20万元、职工基本医疗保险缴费80.83万元、公务员医疗补助缴费50.27、万元其他社会保障缴费8.40万元、住房公积金125.97万元。</w:t>
      </w:r>
    </w:p>
    <w:p>
      <w:pPr>
        <w:spacing w:line="600" w:lineRule="exact"/>
        <w:ind w:firstLine="640" w:firstLineChars="200"/>
        <w:rPr>
          <w:color w:val="C00000"/>
        </w:rPr>
      </w:pPr>
      <w:r>
        <w:rPr>
          <w:rFonts w:hint="eastAsia"/>
        </w:rPr>
        <w:t>公用经费61.79万元，主要包括：办公费4.35万元、工会经费21万元、福利费13.44万元、其他商品和服务支出23万元。</w:t>
      </w:r>
    </w:p>
    <w:p>
      <w:pPr>
        <w:spacing w:line="600" w:lineRule="exact"/>
        <w:ind w:firstLine="640" w:firstLineChars="200"/>
        <w:rPr>
          <w:rFonts w:eastAsia="黑体"/>
        </w:rPr>
      </w:pPr>
      <w:r>
        <w:rPr>
          <w:rFonts w:eastAsia="黑体"/>
        </w:rPr>
        <w:t>七、“三公”经费财政拨款预算安排情况说明</w:t>
      </w:r>
    </w:p>
    <w:p>
      <w:pPr>
        <w:spacing w:line="600" w:lineRule="exact"/>
        <w:ind w:firstLine="640" w:firstLineChars="200"/>
      </w:pPr>
      <w:r>
        <w:rPr>
          <w:rFonts w:hint="eastAsia"/>
        </w:rPr>
        <w:t>金江中小学2026</w:t>
      </w:r>
      <w:r>
        <w:t>年“三公”经费财政拨款预算数</w:t>
      </w:r>
      <w:r>
        <w:rPr>
          <w:rFonts w:hint="eastAsia"/>
        </w:rPr>
        <w:t>0</w:t>
      </w:r>
      <w:r>
        <w:t>万元，其中：因公出国（境）经费</w:t>
      </w:r>
      <w:r>
        <w:rPr>
          <w:rFonts w:hint="eastAsia"/>
        </w:rPr>
        <w:t>0</w:t>
      </w:r>
      <w:r>
        <w:t>万元，公务接待费</w:t>
      </w:r>
      <w:r>
        <w:rPr>
          <w:rFonts w:hint="eastAsia"/>
        </w:rPr>
        <w:t>0</w:t>
      </w:r>
      <w:r>
        <w:t>万元，公务用车购置及运行维护费</w:t>
      </w:r>
      <w:r>
        <w:rPr>
          <w:rFonts w:hint="eastAsia"/>
        </w:rPr>
        <w:t>0</w:t>
      </w:r>
      <w:r>
        <w:t>万元。</w:t>
      </w:r>
    </w:p>
    <w:p>
      <w:pPr>
        <w:spacing w:line="600" w:lineRule="exact"/>
        <w:ind w:firstLine="640" w:firstLineChars="200"/>
      </w:pPr>
      <w:r>
        <w:rPr>
          <w:rFonts w:hint="eastAsia"/>
        </w:rPr>
        <w:t>金江中小学2026</w:t>
      </w:r>
      <w:r>
        <w:t>年没有使用财政拨款安排“三公”经费预算。</w:t>
      </w:r>
    </w:p>
    <w:p>
      <w:pPr>
        <w:spacing w:line="600" w:lineRule="exact"/>
        <w:ind w:firstLine="640"/>
      </w:pPr>
      <w:r>
        <w:rPr>
          <w:rFonts w:eastAsia="楷体_GB2312"/>
          <w:b/>
        </w:rPr>
        <w:t>（一）因公出国（境）经费</w:t>
      </w:r>
      <w:r>
        <w:rPr>
          <w:rFonts w:hint="eastAsia" w:eastAsia="楷体_GB2312"/>
          <w:b/>
        </w:rPr>
        <w:t>与2025</w:t>
      </w:r>
      <w:r>
        <w:rPr>
          <w:rFonts w:eastAsia="楷体_GB2312"/>
          <w:b/>
        </w:rPr>
        <w:t>年预算持平。</w:t>
      </w:r>
      <w:r>
        <w:t>主要</w:t>
      </w:r>
      <w:r>
        <w:rPr>
          <w:rFonts w:hint="eastAsia"/>
        </w:rPr>
        <w:t>原因是没有使用财政拨款安排“三公”经费预算。</w:t>
      </w:r>
    </w:p>
    <w:p>
      <w:pPr>
        <w:spacing w:line="600" w:lineRule="exact"/>
        <w:ind w:firstLine="640"/>
      </w:pPr>
      <w:r>
        <w:t>根据市外事侨务办（台办）批准的</w:t>
      </w:r>
      <w:r>
        <w:rPr>
          <w:rFonts w:hint="eastAsia"/>
        </w:rPr>
        <w:t>2026</w:t>
      </w:r>
      <w:r>
        <w:t>年因公临时出国（境）安排，拟安排出国（境）团组</w:t>
      </w:r>
      <w:r>
        <w:rPr>
          <w:rFonts w:hint="eastAsia"/>
        </w:rPr>
        <w:t>0</w:t>
      </w:r>
      <w:r>
        <w:t xml:space="preserve">次, </w:t>
      </w:r>
      <w:r>
        <w:rPr>
          <w:rFonts w:hint="eastAsia"/>
        </w:rPr>
        <w:t>0</w:t>
      </w:r>
      <w:r>
        <w:t>人。</w:t>
      </w:r>
    </w:p>
    <w:p>
      <w:pPr>
        <w:spacing w:line="600" w:lineRule="exact"/>
        <w:ind w:firstLine="640"/>
      </w:pPr>
      <w:r>
        <w:rPr>
          <w:rFonts w:eastAsia="楷体_GB2312"/>
          <w:b/>
        </w:rPr>
        <w:t>（二）公务接待费与</w:t>
      </w:r>
      <w:r>
        <w:rPr>
          <w:rFonts w:hint="eastAsia" w:eastAsia="楷体_GB2312"/>
          <w:b/>
        </w:rPr>
        <w:t>2025</w:t>
      </w:r>
      <w:r>
        <w:rPr>
          <w:rFonts w:eastAsia="楷体_GB2312"/>
          <w:b/>
        </w:rPr>
        <w:t>年预算持平。</w:t>
      </w:r>
      <w:r>
        <w:t>主要</w:t>
      </w:r>
      <w:r>
        <w:rPr>
          <w:rFonts w:hint="eastAsia"/>
        </w:rPr>
        <w:t>原因是</w:t>
      </w:r>
      <w:bookmarkStart w:id="14" w:name="_Hlk222778109"/>
      <w:r>
        <w:rPr>
          <w:rFonts w:hint="eastAsia"/>
        </w:rPr>
        <w:t>没有使用财政拨款安排“三公”经费预算</w:t>
      </w:r>
      <w:bookmarkEnd w:id="14"/>
      <w:r>
        <w:rPr>
          <w:rFonts w:hint="eastAsia"/>
        </w:rPr>
        <w:t>。</w:t>
      </w:r>
    </w:p>
    <w:p>
      <w:pPr>
        <w:spacing w:line="600" w:lineRule="exact"/>
        <w:ind w:firstLine="640"/>
      </w:pPr>
      <w:r>
        <w:rPr>
          <w:rFonts w:hint="eastAsia"/>
        </w:rPr>
        <w:t>2026</w:t>
      </w:r>
      <w:r>
        <w:t>年</w:t>
      </w:r>
      <w:r>
        <w:rPr>
          <w:rFonts w:hint="eastAsia"/>
        </w:rPr>
        <w:t>没有使用财政拨款安排“三公”经费预算。</w:t>
      </w:r>
    </w:p>
    <w:p>
      <w:pPr>
        <w:spacing w:line="600" w:lineRule="exact"/>
        <w:ind w:firstLine="640"/>
        <w:rPr>
          <w:rFonts w:eastAsia="黑体"/>
          <w:b/>
        </w:rPr>
      </w:pPr>
      <w:r>
        <w:rPr>
          <w:rFonts w:eastAsia="楷体_GB2312"/>
          <w:b/>
        </w:rPr>
        <w:t>（三）公务用车购置及运行维护费与</w:t>
      </w:r>
      <w:r>
        <w:rPr>
          <w:rFonts w:hint="eastAsia" w:eastAsia="楷体_GB2312"/>
          <w:b/>
        </w:rPr>
        <w:t>2025</w:t>
      </w:r>
      <w:r>
        <w:rPr>
          <w:rFonts w:eastAsia="楷体_GB2312"/>
          <w:b/>
        </w:rPr>
        <w:t>年预算持平。</w:t>
      </w:r>
      <w:bookmarkStart w:id="15" w:name="_Hlk221720667"/>
      <w:r>
        <w:rPr>
          <w:rFonts w:hint="eastAsia"/>
        </w:rPr>
        <w:t>主要原因是没有使用财政拨款安排“三公”经费预算。</w:t>
      </w:r>
      <w:bookmarkEnd w:id="15"/>
    </w:p>
    <w:p>
      <w:pPr>
        <w:spacing w:line="600" w:lineRule="exact"/>
        <w:ind w:firstLine="640"/>
      </w:pPr>
      <w:r>
        <w:rPr>
          <w:rFonts w:hint="eastAsia"/>
        </w:rPr>
        <w:t>部门</w:t>
      </w:r>
      <w:r>
        <w:t>现有公务用车</w:t>
      </w:r>
      <w:r>
        <w:rPr>
          <w:rFonts w:hint="eastAsia"/>
        </w:rPr>
        <w:t>0</w:t>
      </w:r>
      <w:r>
        <w:t>辆，其中：轿车（含7座以下商务车、城市越野车）</w:t>
      </w:r>
      <w:r>
        <w:rPr>
          <w:rFonts w:hint="eastAsia"/>
        </w:rPr>
        <w:t>0</w:t>
      </w:r>
      <w:r>
        <w:t>辆，7座以上19座（含19座）以下客车</w:t>
      </w:r>
      <w:r>
        <w:rPr>
          <w:rFonts w:hint="eastAsia"/>
        </w:rPr>
        <w:t>0</w:t>
      </w:r>
      <w:r>
        <w:t>辆，越野车</w:t>
      </w:r>
      <w:r>
        <w:rPr>
          <w:rFonts w:hint="eastAsia"/>
        </w:rPr>
        <w:t>0</w:t>
      </w:r>
      <w:r>
        <w:t>辆，货车及19座以上客车</w:t>
      </w:r>
      <w:r>
        <w:rPr>
          <w:rFonts w:hint="eastAsia"/>
        </w:rPr>
        <w:t>0</w:t>
      </w:r>
      <w:r>
        <w:t>辆，摩托车</w:t>
      </w:r>
      <w:r>
        <w:rPr>
          <w:rFonts w:hint="eastAsia"/>
        </w:rPr>
        <w:t>0</w:t>
      </w:r>
      <w:r>
        <w:t>辆。</w:t>
      </w:r>
    </w:p>
    <w:p>
      <w:pPr>
        <w:spacing w:line="600" w:lineRule="exact"/>
        <w:ind w:firstLine="640"/>
      </w:pPr>
      <w:r>
        <w:rPr>
          <w:rFonts w:hint="eastAsia"/>
        </w:rPr>
        <w:t>2026</w:t>
      </w:r>
      <w:r>
        <w:t>年安排公务用车购置费</w:t>
      </w:r>
      <w:r>
        <w:rPr>
          <w:rFonts w:hint="eastAsia"/>
        </w:rPr>
        <w:t>0</w:t>
      </w:r>
      <w:r>
        <w:t>万元，购置公务用车</w:t>
      </w:r>
      <w:r>
        <w:rPr>
          <w:rFonts w:hint="eastAsia"/>
        </w:rPr>
        <w:t>0</w:t>
      </w:r>
      <w:r>
        <w:t>辆，其中：轿车（含7座以下商务车、城市越野车）</w:t>
      </w:r>
      <w:r>
        <w:rPr>
          <w:rFonts w:hint="eastAsia"/>
        </w:rPr>
        <w:t>0</w:t>
      </w:r>
      <w:r>
        <w:t>辆，7座以上19座（含19座）以下客车</w:t>
      </w:r>
      <w:r>
        <w:rPr>
          <w:rFonts w:hint="eastAsia"/>
        </w:rPr>
        <w:t>0</w:t>
      </w:r>
      <w:r>
        <w:t>辆，越野车</w:t>
      </w:r>
      <w:r>
        <w:rPr>
          <w:rFonts w:hint="eastAsia"/>
        </w:rPr>
        <w:t>0</w:t>
      </w:r>
      <w:r>
        <w:t>辆，货车及19座以上客车</w:t>
      </w:r>
      <w:r>
        <w:rPr>
          <w:rFonts w:hint="eastAsia"/>
        </w:rPr>
        <w:t>0</w:t>
      </w:r>
      <w:r>
        <w:t>辆，摩托车</w:t>
      </w:r>
      <w:r>
        <w:rPr>
          <w:rFonts w:hint="eastAsia"/>
        </w:rPr>
        <w:t>0</w:t>
      </w:r>
      <w:r>
        <w:t>辆。</w:t>
      </w:r>
    </w:p>
    <w:p>
      <w:pPr>
        <w:spacing w:line="600" w:lineRule="exact"/>
        <w:ind w:firstLine="640"/>
      </w:pPr>
      <w:r>
        <w:rPr>
          <w:rFonts w:hint="eastAsia"/>
        </w:rPr>
        <w:t>2026</w:t>
      </w:r>
      <w:r>
        <w:t>年安排公务用车运行维护费</w:t>
      </w:r>
      <w:r>
        <w:rPr>
          <w:rFonts w:hint="eastAsia"/>
        </w:rPr>
        <w:t>0</w:t>
      </w:r>
      <w:r>
        <w:t>万元，用于</w:t>
      </w:r>
      <w:r>
        <w:rPr>
          <w:rFonts w:hint="eastAsia"/>
        </w:rPr>
        <w:t>0</w:t>
      </w:r>
      <w:r>
        <w:t>辆公务用车燃油、维修、车辆通行等方面支出</w:t>
      </w:r>
      <w:r>
        <w:rPr>
          <w:rFonts w:hint="eastAsia"/>
        </w:rPr>
        <w:t>。</w:t>
      </w:r>
    </w:p>
    <w:p>
      <w:pPr>
        <w:suppressAutoHyphens/>
        <w:spacing w:line="580" w:lineRule="exact"/>
        <w:ind w:firstLine="640" w:firstLineChars="200"/>
        <w:outlineLvl w:val="1"/>
        <w:rPr>
          <w:rFonts w:eastAsia="黑体"/>
        </w:rPr>
      </w:pPr>
      <w:r>
        <w:rPr>
          <w:rFonts w:hint="eastAsia" w:eastAsia="黑体"/>
        </w:rPr>
        <w:t>八、“三公”经费非财政拨款预算安排情况说明</w:t>
      </w:r>
    </w:p>
    <w:p>
      <w:pPr>
        <w:suppressAutoHyphens/>
        <w:spacing w:line="580" w:lineRule="exact"/>
        <w:ind w:firstLine="640" w:firstLineChars="200"/>
      </w:pPr>
      <w:r>
        <w:rPr>
          <w:rFonts w:hint="eastAsia"/>
        </w:rPr>
        <w:t>金江中小学2026年非财政拨款“三公”经费预算数0万元，</w:t>
      </w:r>
      <w:r>
        <w:t>其中：因公出国（境）经费</w:t>
      </w:r>
      <w:r>
        <w:rPr>
          <w:rFonts w:hint="eastAsia"/>
        </w:rPr>
        <w:t>0</w:t>
      </w:r>
      <w:r>
        <w:t>万元，公务接待费</w:t>
      </w:r>
      <w:r>
        <w:rPr>
          <w:rFonts w:hint="eastAsia"/>
        </w:rPr>
        <w:t>0</w:t>
      </w:r>
      <w:r>
        <w:t>万元，公务用车购置及运行维护费</w:t>
      </w:r>
      <w:r>
        <w:rPr>
          <w:rFonts w:hint="eastAsia"/>
        </w:rPr>
        <w:t>0</w:t>
      </w:r>
      <w:r>
        <w:t>万元。</w:t>
      </w:r>
    </w:p>
    <w:p>
      <w:pPr>
        <w:suppressAutoHyphens/>
        <w:spacing w:line="580" w:lineRule="exact"/>
        <w:ind w:firstLine="640" w:firstLineChars="200"/>
      </w:pPr>
      <w:r>
        <w:rPr>
          <w:rFonts w:hint="eastAsia"/>
        </w:rPr>
        <w:t>金江中小学2026年</w:t>
      </w:r>
      <w:bookmarkStart w:id="16" w:name="_Hlk222778214"/>
      <w:r>
        <w:rPr>
          <w:rFonts w:hint="eastAsia"/>
        </w:rPr>
        <w:t>没有使用非财政拨款安排“三公”经费预算。</w:t>
      </w:r>
    </w:p>
    <w:bookmarkEnd w:id="16"/>
    <w:p>
      <w:pPr>
        <w:suppressAutoHyphens/>
        <w:spacing w:line="58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（一）非财政拨款安排</w:t>
      </w:r>
      <w:bookmarkStart w:id="17" w:name="_Hlk222778254"/>
      <w:r>
        <w:rPr>
          <w:rFonts w:hint="eastAsia" w:ascii="楷体_GB2312" w:hAnsi="楷体_GB2312" w:eastAsia="楷体_GB2312" w:cs="楷体_GB2312"/>
          <w:b/>
          <w:bCs/>
        </w:rPr>
        <w:t>公务接待</w:t>
      </w:r>
      <w:bookmarkEnd w:id="17"/>
      <w:r>
        <w:rPr>
          <w:rFonts w:hint="eastAsia" w:ascii="楷体_GB2312" w:hAnsi="楷体_GB2312" w:eastAsia="楷体_GB2312" w:cs="楷体_GB2312"/>
          <w:b/>
          <w:bCs/>
        </w:rPr>
        <w:t>费情况说明</w:t>
      </w:r>
    </w:p>
    <w:p>
      <w:pPr>
        <w:suppressAutoHyphens/>
        <w:spacing w:line="580" w:lineRule="exact"/>
        <w:ind w:firstLine="640"/>
        <w:rPr>
          <w:rFonts w:eastAsia="黑体"/>
          <w:b/>
        </w:rPr>
      </w:pPr>
      <w:r>
        <w:rPr>
          <w:rFonts w:hint="eastAsia"/>
        </w:rPr>
        <w:t>2026年非财政拨款安排公务接待费</w:t>
      </w:r>
      <w:r>
        <w:rPr>
          <w:rFonts w:hint="eastAsia" w:ascii="仿宋_GB2312" w:hAnsi="仿宋_GB2312" w:cs="仿宋_GB2312"/>
          <w:bCs/>
        </w:rPr>
        <w:t>与2025年预算持平</w:t>
      </w:r>
      <w:r>
        <w:rPr>
          <w:rFonts w:hint="eastAsia" w:ascii="仿宋_GB2312" w:hAnsi="仿宋_GB2312" w:cs="仿宋_GB2312"/>
          <w:b/>
        </w:rPr>
        <w:t>。</w:t>
      </w:r>
      <w:r>
        <w:rPr>
          <w:rFonts w:hint="eastAsia"/>
          <w:color w:val="000000"/>
        </w:rPr>
        <w:t>主要原因是</w:t>
      </w:r>
      <w:bookmarkStart w:id="18" w:name="_Hlk222778277"/>
      <w:r>
        <w:rPr>
          <w:rFonts w:hint="eastAsia"/>
          <w:color w:val="000000"/>
        </w:rPr>
        <w:t>没有使用非财政拨款安排</w:t>
      </w:r>
      <w:bookmarkEnd w:id="18"/>
      <w:r>
        <w:rPr>
          <w:rFonts w:hint="eastAsia"/>
          <w:color w:val="000000"/>
        </w:rPr>
        <w:t>“三公”经费预算。</w:t>
      </w:r>
    </w:p>
    <w:p>
      <w:pPr>
        <w:suppressAutoHyphens/>
        <w:spacing w:line="580" w:lineRule="exact"/>
        <w:ind w:firstLine="640"/>
        <w:rPr>
          <w:rFonts w:eastAsia="黑体"/>
          <w:b/>
        </w:rPr>
      </w:pPr>
      <w:r>
        <w:rPr>
          <w:rFonts w:hint="eastAsia"/>
        </w:rPr>
        <w:t>2026年没有使用非财政拨款安排公务接待费计划。</w:t>
      </w:r>
    </w:p>
    <w:p>
      <w:pPr>
        <w:suppressAutoHyphens/>
        <w:spacing w:line="580" w:lineRule="exact"/>
        <w:ind w:firstLine="640"/>
      </w:pPr>
      <w:r>
        <w:rPr>
          <w:rFonts w:hint="eastAsia" w:ascii="楷体_GB2312" w:hAnsi="楷体_GB2312" w:eastAsia="楷体_GB2312" w:cs="楷体_GB2312"/>
          <w:b/>
          <w:bCs/>
        </w:rPr>
        <w:t>（二）非财政拨款安排</w:t>
      </w:r>
      <w:r>
        <w:rPr>
          <w:rFonts w:hint="eastAsia" w:eastAsia="楷体_GB2312"/>
          <w:b/>
        </w:rPr>
        <w:t>公务用车购置及运行维护费</w:t>
      </w:r>
      <w:r>
        <w:rPr>
          <w:rFonts w:hint="eastAsia" w:ascii="楷体_GB2312" w:hAnsi="楷体_GB2312" w:eastAsia="楷体_GB2312" w:cs="楷体_GB2312"/>
          <w:b/>
          <w:bCs/>
        </w:rPr>
        <w:t>情况说明</w:t>
      </w:r>
    </w:p>
    <w:p>
      <w:pPr>
        <w:suppressAutoHyphens/>
        <w:spacing w:line="580" w:lineRule="exact"/>
        <w:ind w:firstLine="640"/>
        <w:rPr>
          <w:b/>
        </w:rPr>
      </w:pPr>
      <w:r>
        <w:rPr>
          <w:rFonts w:hint="eastAsia" w:ascii="仿宋_GB2312" w:hAnsi="仿宋_GB2312" w:cs="仿宋_GB2312"/>
        </w:rPr>
        <w:t>非财政拨款安排公务用车购置及运行维护费</w:t>
      </w:r>
      <w:r>
        <w:rPr>
          <w:rFonts w:hint="eastAsia" w:ascii="仿宋_GB2312" w:hAnsi="仿宋_GB2312" w:cs="仿宋_GB2312"/>
          <w:bCs/>
        </w:rPr>
        <w:t>与2025年预算持平</w:t>
      </w:r>
      <w:r>
        <w:rPr>
          <w:rFonts w:hint="eastAsia" w:ascii="仿宋_GB2312" w:hAnsi="仿宋_GB2312" w:cs="仿宋_GB2312"/>
          <w:b/>
        </w:rPr>
        <w:t>。</w:t>
      </w:r>
      <w:bookmarkStart w:id="19" w:name="_Hlk222760952"/>
      <w:r>
        <w:rPr>
          <w:rFonts w:hint="eastAsia"/>
        </w:rPr>
        <w:t>主要原因是没有使用非财政拨款安排“三公”经费预算。</w:t>
      </w:r>
    </w:p>
    <w:bookmarkEnd w:id="19"/>
    <w:p>
      <w:pPr>
        <w:suppressAutoHyphens/>
        <w:spacing w:line="580" w:lineRule="exact"/>
        <w:ind w:firstLine="640"/>
      </w:pPr>
      <w:r>
        <w:rPr>
          <w:rFonts w:hint="eastAsia"/>
        </w:rPr>
        <w:t>部门现有公务用车0辆，其中：轿车0辆，旅行车（含商务车）0辆，越野车0辆，大型客、货车0辆。</w:t>
      </w:r>
    </w:p>
    <w:p>
      <w:pPr>
        <w:suppressAutoHyphens/>
        <w:spacing w:line="580" w:lineRule="exact"/>
        <w:ind w:firstLine="640"/>
      </w:pPr>
      <w:r>
        <w:rPr>
          <w:rFonts w:hint="eastAsia"/>
        </w:rPr>
        <w:t>2026年安排</w:t>
      </w:r>
      <w:r>
        <w:rPr>
          <w:rFonts w:hint="eastAsia" w:ascii="仿宋_GB2312" w:hAnsi="仿宋_GB2312" w:cs="仿宋_GB2312"/>
        </w:rPr>
        <w:t>非财政拨款</w:t>
      </w:r>
      <w:r>
        <w:rPr>
          <w:rFonts w:hint="eastAsia"/>
        </w:rPr>
        <w:t>公务用车购置费0万元，拟购置公务用车0辆，其中：轿车0辆，旅行车（含商务车）0辆，越野车0辆，大型客、货车0辆。</w:t>
      </w:r>
    </w:p>
    <w:p>
      <w:pPr>
        <w:spacing w:line="600" w:lineRule="exact"/>
        <w:ind w:firstLine="640"/>
      </w:pPr>
      <w:r>
        <w:rPr>
          <w:rFonts w:hint="eastAsia"/>
        </w:rPr>
        <w:t>2026年安排</w:t>
      </w:r>
      <w:r>
        <w:rPr>
          <w:rFonts w:hint="eastAsia" w:ascii="仿宋_GB2312" w:hAnsi="仿宋_GB2312" w:cs="仿宋_GB2312"/>
        </w:rPr>
        <w:t>非财政拨款</w:t>
      </w:r>
      <w:r>
        <w:rPr>
          <w:rFonts w:hint="eastAsia"/>
        </w:rPr>
        <w:t>公务用车运行维护费0万元，用于0辆公务用车燃油、维修、保险等方面支出。</w:t>
      </w:r>
    </w:p>
    <w:p>
      <w:pPr>
        <w:spacing w:line="600" w:lineRule="exact"/>
        <w:ind w:firstLine="640" w:firstLineChars="200"/>
        <w:rPr>
          <w:rFonts w:eastAsia="黑体"/>
        </w:rPr>
      </w:pPr>
      <w:r>
        <w:rPr>
          <w:rFonts w:hint="eastAsia" w:eastAsia="黑体"/>
        </w:rPr>
        <w:t>九</w:t>
      </w:r>
      <w:r>
        <w:rPr>
          <w:rFonts w:eastAsia="黑体"/>
        </w:rPr>
        <w:t>、政府性基金预算支出情况说明</w:t>
      </w:r>
    </w:p>
    <w:p>
      <w:pPr>
        <w:spacing w:line="600" w:lineRule="exact"/>
        <w:ind w:firstLine="640" w:firstLineChars="200"/>
      </w:pPr>
      <w:r>
        <w:rPr>
          <w:rFonts w:hint="eastAsia"/>
        </w:rPr>
        <w:t>金江中小学2026</w:t>
      </w:r>
      <w:r>
        <w:t>年政府性基金预算支出</w:t>
      </w:r>
      <w:r>
        <w:rPr>
          <w:rFonts w:hint="eastAsia"/>
        </w:rPr>
        <w:t>0</w:t>
      </w:r>
      <w:r>
        <w:t>万元，其中：基本支出</w:t>
      </w:r>
      <w:r>
        <w:rPr>
          <w:rFonts w:hint="eastAsia"/>
        </w:rPr>
        <w:t>0</w:t>
      </w:r>
      <w:r>
        <w:t>万元，项目支出</w:t>
      </w:r>
      <w:r>
        <w:rPr>
          <w:rFonts w:hint="eastAsia"/>
        </w:rPr>
        <w:t>0</w:t>
      </w:r>
      <w:r>
        <w:t>万元。</w:t>
      </w:r>
    </w:p>
    <w:p>
      <w:pPr>
        <w:spacing w:line="600" w:lineRule="exact"/>
        <w:ind w:firstLine="640" w:firstLineChars="200"/>
      </w:pPr>
      <w:r>
        <w:rPr>
          <w:rFonts w:hint="eastAsia"/>
        </w:rPr>
        <w:t>金江中小学2026</w:t>
      </w:r>
      <w:r>
        <w:t>年没有使用政府性基金预算拨款安排的支出。</w:t>
      </w:r>
    </w:p>
    <w:p>
      <w:pPr>
        <w:suppressAutoHyphens/>
        <w:spacing w:line="580" w:lineRule="exact"/>
        <w:ind w:firstLine="640" w:firstLineChars="200"/>
        <w:outlineLvl w:val="1"/>
        <w:rPr>
          <w:rFonts w:eastAsia="黑体"/>
        </w:rPr>
      </w:pPr>
      <w:r>
        <w:rPr>
          <w:rFonts w:hint="eastAsia" w:eastAsia="黑体"/>
        </w:rPr>
        <w:t>十、国有资本经营预算情况说明</w:t>
      </w:r>
    </w:p>
    <w:p>
      <w:pPr>
        <w:suppressAutoHyphens/>
        <w:spacing w:line="580" w:lineRule="exact"/>
        <w:ind w:firstLine="640" w:firstLineChars="200"/>
      </w:pPr>
      <w:r>
        <w:rPr>
          <w:rFonts w:hint="eastAsia"/>
        </w:rPr>
        <w:t>金江中小学2026年国有资本经营预算支出0万元，其中：基本支出0万元，项目支出0万元，</w:t>
      </w:r>
      <w:r>
        <w:rPr>
          <w:rFonts w:eastAsia="楷体_GB2312"/>
          <w:bCs/>
        </w:rPr>
        <w:t>与</w:t>
      </w:r>
      <w:r>
        <w:rPr>
          <w:rFonts w:hint="eastAsia" w:eastAsia="楷体_GB2312"/>
          <w:bCs/>
        </w:rPr>
        <w:t>2025</w:t>
      </w:r>
      <w:r>
        <w:rPr>
          <w:rFonts w:eastAsia="楷体_GB2312"/>
          <w:bCs/>
        </w:rPr>
        <w:t>年预算持平</w:t>
      </w:r>
      <w:r>
        <w:rPr>
          <w:rFonts w:hint="eastAsia" w:eastAsia="楷体_GB2312"/>
          <w:bCs/>
        </w:rPr>
        <w:t>。</w:t>
      </w:r>
    </w:p>
    <w:p>
      <w:pPr>
        <w:suppressAutoHyphens/>
        <w:spacing w:line="580" w:lineRule="exact"/>
        <w:ind w:firstLine="640" w:firstLineChars="200"/>
      </w:pPr>
      <w:r>
        <w:rPr>
          <w:rFonts w:hint="eastAsia"/>
        </w:rPr>
        <w:t>金江中小学2026年没有使用国有资本经营预算拨款安排的支出。</w:t>
      </w:r>
    </w:p>
    <w:p>
      <w:pPr>
        <w:spacing w:line="600" w:lineRule="exact"/>
        <w:ind w:firstLine="640" w:firstLineChars="200"/>
        <w:rPr>
          <w:rFonts w:eastAsia="黑体"/>
        </w:rPr>
      </w:pPr>
      <w:r>
        <w:rPr>
          <w:rFonts w:hint="eastAsia" w:eastAsia="黑体"/>
        </w:rPr>
        <w:t>十一</w:t>
      </w:r>
      <w:r>
        <w:rPr>
          <w:rFonts w:eastAsia="黑体"/>
        </w:rPr>
        <w:t>、其他重要事项的情况说明</w:t>
      </w:r>
    </w:p>
    <w:p>
      <w:pPr>
        <w:spacing w:line="600" w:lineRule="exact"/>
        <w:ind w:firstLine="642" w:firstLineChars="200"/>
        <w:rPr>
          <w:rFonts w:eastAsia="楷体_GB2312"/>
          <w:b/>
        </w:rPr>
      </w:pPr>
      <w:r>
        <w:rPr>
          <w:rFonts w:eastAsia="楷体_GB2312"/>
          <w:b/>
        </w:rPr>
        <w:t>（一）机关运行经费。</w:t>
      </w:r>
    </w:p>
    <w:p>
      <w:pPr>
        <w:spacing w:line="600" w:lineRule="exact"/>
        <w:ind w:firstLine="640" w:firstLineChars="200"/>
      </w:pPr>
      <w:r>
        <w:rPr>
          <w:rFonts w:hint="eastAsia"/>
        </w:rPr>
        <w:t>2026</w:t>
      </w:r>
      <w:r>
        <w:t>年，</w:t>
      </w:r>
      <w:r>
        <w:rPr>
          <w:rFonts w:hint="eastAsia"/>
        </w:rPr>
        <w:t>金江中小学</w:t>
      </w:r>
      <w:r>
        <w:t>机关运行经费财政拨款预算为</w:t>
      </w:r>
      <w:r>
        <w:rPr>
          <w:rFonts w:hint="eastAsia"/>
        </w:rPr>
        <w:t>0</w:t>
      </w:r>
      <w:r>
        <w:t>万元，</w:t>
      </w:r>
      <w:r>
        <w:rPr>
          <w:rFonts w:hint="eastAsia"/>
          <w:color w:val="000000"/>
        </w:rPr>
        <w:t>与2025</w:t>
      </w:r>
      <w:r>
        <w:rPr>
          <w:color w:val="000000"/>
        </w:rPr>
        <w:t>年预算</w:t>
      </w:r>
      <w:r>
        <w:rPr>
          <w:rFonts w:hint="eastAsia"/>
          <w:color w:val="000000"/>
        </w:rPr>
        <w:t>持平</w:t>
      </w:r>
      <w:r>
        <w:t>。</w:t>
      </w:r>
    </w:p>
    <w:p>
      <w:pPr>
        <w:suppressAutoHyphens/>
        <w:spacing w:line="580" w:lineRule="exact"/>
        <w:ind w:firstLine="640"/>
      </w:pPr>
      <w:r>
        <w:rPr>
          <w:rFonts w:hint="eastAsia"/>
        </w:rPr>
        <w:t>金江中小学为事业单位，按规定未使用机关运行的相关科目。</w:t>
      </w:r>
    </w:p>
    <w:p>
      <w:pPr>
        <w:spacing w:line="600" w:lineRule="exact"/>
        <w:ind w:firstLine="642" w:firstLineChars="200"/>
        <w:rPr>
          <w:rFonts w:eastAsia="楷体_GB2312"/>
          <w:b/>
        </w:rPr>
      </w:pPr>
      <w:r>
        <w:rPr>
          <w:rFonts w:eastAsia="楷体_GB2312"/>
          <w:b/>
        </w:rPr>
        <w:t>（</w:t>
      </w:r>
      <w:r>
        <w:rPr>
          <w:rFonts w:hint="eastAsia" w:eastAsia="楷体_GB2312"/>
          <w:b/>
        </w:rPr>
        <w:t>二</w:t>
      </w:r>
      <w:r>
        <w:rPr>
          <w:rFonts w:eastAsia="楷体_GB2312"/>
          <w:b/>
        </w:rPr>
        <w:t>）</w:t>
      </w:r>
      <w:r>
        <w:rPr>
          <w:rFonts w:hint="eastAsia" w:eastAsia="楷体_GB2312"/>
          <w:b/>
        </w:rPr>
        <w:t>政府采购情况</w:t>
      </w:r>
      <w:r>
        <w:rPr>
          <w:rFonts w:eastAsia="楷体_GB2312"/>
          <w:b/>
        </w:rPr>
        <w:t>。</w:t>
      </w:r>
    </w:p>
    <w:p>
      <w:pPr>
        <w:suppressAutoHyphens/>
        <w:spacing w:line="580" w:lineRule="exact"/>
        <w:ind w:firstLine="640" w:firstLineChars="200"/>
      </w:pPr>
      <w:r>
        <w:rPr>
          <w:rFonts w:hint="eastAsia"/>
        </w:rPr>
        <w:t>2026年，金江中小学安排政府采购预算0万元，其中，政府采购货物预算0万元；政府采购工程预算0万元；政府采购服务预算0万元。</w:t>
      </w:r>
    </w:p>
    <w:p>
      <w:pPr>
        <w:suppressAutoHyphens/>
        <w:spacing w:line="580" w:lineRule="exact"/>
        <w:ind w:firstLine="640" w:firstLineChars="200"/>
        <w:rPr>
          <w:u w:val="single"/>
        </w:rPr>
      </w:pPr>
      <w:r>
        <w:rPr>
          <w:rFonts w:hint="eastAsia"/>
        </w:rPr>
        <w:t>金江中小学2026年无政府采购项目，未安排政府采购预算。</w:t>
      </w:r>
    </w:p>
    <w:p>
      <w:pPr>
        <w:spacing w:line="600" w:lineRule="exact"/>
        <w:ind w:firstLine="642" w:firstLineChars="200"/>
        <w:rPr>
          <w:rFonts w:eastAsia="楷体_GB2312"/>
          <w:b/>
        </w:rPr>
      </w:pPr>
      <w:r>
        <w:rPr>
          <w:rFonts w:eastAsia="楷体_GB2312"/>
          <w:b/>
        </w:rPr>
        <w:t>（</w:t>
      </w:r>
      <w:r>
        <w:rPr>
          <w:rFonts w:hint="eastAsia" w:eastAsia="楷体_GB2312"/>
          <w:b/>
        </w:rPr>
        <w:t>三</w:t>
      </w:r>
      <w:r>
        <w:rPr>
          <w:rFonts w:eastAsia="楷体_GB2312"/>
          <w:b/>
        </w:rPr>
        <w:t>）国有资产占有使用情况。</w:t>
      </w:r>
    </w:p>
    <w:p>
      <w:pPr>
        <w:spacing w:line="600" w:lineRule="exact"/>
        <w:ind w:firstLine="640" w:firstLineChars="200"/>
      </w:pPr>
      <w:r>
        <w:t>截至</w:t>
      </w:r>
      <w:r>
        <w:rPr>
          <w:rFonts w:hint="eastAsia"/>
        </w:rPr>
        <w:t>2025</w:t>
      </w:r>
      <w:r>
        <w:t>年底，</w:t>
      </w:r>
      <w:r>
        <w:rPr>
          <w:rFonts w:hint="eastAsia"/>
        </w:rPr>
        <w:t>金江中小学</w:t>
      </w:r>
      <w:r>
        <w:t>及所属的非独立核算单位共有车辆</w:t>
      </w:r>
      <w:r>
        <w:rPr>
          <w:rFonts w:hint="eastAsia"/>
        </w:rPr>
        <w:t>0</w:t>
      </w:r>
      <w:r>
        <w:t>辆，其中，执法执勤用车</w:t>
      </w:r>
      <w:r>
        <w:rPr>
          <w:rFonts w:hint="eastAsia"/>
        </w:rPr>
        <w:t>0</w:t>
      </w:r>
      <w:r>
        <w:t>辆。单位价值200万元以上大型设备</w:t>
      </w:r>
      <w:r>
        <w:rPr>
          <w:rFonts w:hint="eastAsia"/>
        </w:rPr>
        <w:t>0</w:t>
      </w:r>
      <w:r>
        <w:t>台（套）。</w:t>
      </w:r>
    </w:p>
    <w:p>
      <w:pPr>
        <w:spacing w:line="600" w:lineRule="exact"/>
        <w:ind w:firstLine="642" w:firstLineChars="200"/>
        <w:rPr>
          <w:rFonts w:eastAsia="楷体_GB2312"/>
          <w:b/>
        </w:rPr>
      </w:pPr>
      <w:r>
        <w:rPr>
          <w:rFonts w:eastAsia="楷体_GB2312"/>
          <w:b/>
        </w:rPr>
        <w:t>（</w:t>
      </w:r>
      <w:r>
        <w:rPr>
          <w:rFonts w:hint="eastAsia" w:eastAsia="楷体_GB2312"/>
          <w:b/>
        </w:rPr>
        <w:t>四</w:t>
      </w:r>
      <w:r>
        <w:rPr>
          <w:rFonts w:eastAsia="楷体_GB2312"/>
          <w:b/>
        </w:rPr>
        <w:t>）预算绩效情况。</w:t>
      </w:r>
    </w:p>
    <w:p>
      <w:pPr>
        <w:spacing w:line="578" w:lineRule="exact"/>
        <w:ind w:firstLine="640" w:firstLineChars="200"/>
        <w:rPr>
          <w:rFonts w:hint="eastAsia" w:ascii="仿宋_GB2312" w:hAnsi="仿宋_GB2312" w:cs="仿宋_GB2312"/>
        </w:rPr>
      </w:pPr>
      <w:r>
        <w:rPr>
          <w:rFonts w:hint="eastAsia"/>
        </w:rPr>
        <w:t>2025年金江中小学开展绩效目标管理的项目11个，涉及预算333.58万元。其中：人员类项目0个，涉及预算0万元；运转类项目11个，涉及预算333.58万元；特定目标类项目0个，涉及预算0万元。</w:t>
      </w:r>
    </w:p>
    <w:p>
      <w:pPr>
        <w:spacing w:line="600" w:lineRule="exact"/>
        <w:ind w:firstLine="640" w:firstLineChars="200"/>
        <w:rPr>
          <w:rFonts w:eastAsia="黑体"/>
        </w:rPr>
      </w:pPr>
      <w:r>
        <w:rPr>
          <w:rFonts w:eastAsia="黑体"/>
        </w:rPr>
        <w:t>十</w:t>
      </w:r>
      <w:r>
        <w:rPr>
          <w:rFonts w:hint="eastAsia" w:eastAsia="黑体"/>
        </w:rPr>
        <w:t>二</w:t>
      </w:r>
      <w:r>
        <w:rPr>
          <w:rFonts w:eastAsia="黑体"/>
        </w:rPr>
        <w:t>、名词解释</w:t>
      </w:r>
    </w:p>
    <w:p>
      <w:pPr>
        <w:spacing w:line="600" w:lineRule="exact"/>
        <w:ind w:firstLine="640" w:firstLineChars="200"/>
      </w:pPr>
      <w:r>
        <w:rPr>
          <w:rFonts w:hint="eastAsia"/>
        </w:rPr>
        <w:t>1.财政拨款收入：指攀枝花市仁和区从攀枝花钒钛高新技术产业园区财政金融局拨付的财政预算资金。</w:t>
      </w:r>
    </w:p>
    <w:p>
      <w:pPr>
        <w:spacing w:line="600" w:lineRule="exact"/>
        <w:ind w:firstLine="640" w:firstLineChars="200"/>
      </w:pPr>
      <w:r>
        <w:rPr>
          <w:rFonts w:hint="eastAsia"/>
        </w:rPr>
        <w:t>2.事业收入：指事业单位开展专业业务活动及辅助活动取得的收入。</w:t>
      </w:r>
    </w:p>
    <w:p>
      <w:pPr>
        <w:spacing w:line="600" w:lineRule="exact"/>
        <w:ind w:firstLine="640" w:firstLineChars="200"/>
      </w:pPr>
      <w:r>
        <w:rPr>
          <w:rFonts w:hint="eastAsia"/>
        </w:rPr>
        <w:t>3.经营收入：指事业单位在专业业务活动及其辅助活动之外开展非独立核算经营活动取得的收入。</w:t>
      </w:r>
    </w:p>
    <w:p>
      <w:pPr>
        <w:spacing w:line="600" w:lineRule="exact"/>
        <w:ind w:firstLine="640" w:firstLineChars="200"/>
      </w:pPr>
      <w:r>
        <w:rPr>
          <w:rFonts w:hint="eastAsia"/>
        </w:rPr>
        <w:t>4.其他收入：指单位取得的除上述收入以外的各项收入。</w:t>
      </w:r>
    </w:p>
    <w:p>
      <w:pPr>
        <w:spacing w:line="600" w:lineRule="exact"/>
        <w:ind w:firstLine="640" w:firstLineChars="200"/>
      </w:pPr>
      <w:r>
        <w:rPr>
          <w:rFonts w:hint="eastAsia"/>
        </w:rPr>
        <w:t xml:space="preserve">5.使用非财政拨款结余：指事业单位使用以前年度积累的非财政拨款结余弥补当年收支差额的金额。 </w:t>
      </w:r>
    </w:p>
    <w:p>
      <w:pPr>
        <w:spacing w:line="600" w:lineRule="exact"/>
        <w:ind w:firstLine="640" w:firstLineChars="200"/>
      </w:pPr>
      <w:r>
        <w:rPr>
          <w:rFonts w:hint="eastAsia"/>
        </w:rPr>
        <w:t xml:space="preserve">6.年初结转和结余：指以前年度尚未完成、结转到本年按有关规定继续使用的资金。 </w:t>
      </w:r>
    </w:p>
    <w:p>
      <w:pPr>
        <w:spacing w:line="600" w:lineRule="exact"/>
        <w:ind w:firstLine="640" w:firstLineChars="200"/>
      </w:pPr>
      <w:r>
        <w:rPr>
          <w:rFonts w:hint="eastAsia"/>
        </w:rPr>
        <w:t>7.结余分配：指事业单位按照会计制度规定缴纳的所得税、提取的专用结余以及转入非财政拨款结余的金额等。</w:t>
      </w:r>
    </w:p>
    <w:p>
      <w:pPr>
        <w:spacing w:line="600" w:lineRule="exact"/>
        <w:ind w:firstLine="640" w:firstLineChars="200"/>
      </w:pPr>
      <w:r>
        <w:rPr>
          <w:rFonts w:hint="eastAsia"/>
        </w:rPr>
        <w:t>8.年末结转和结余：指单位按有关规定结转到下年或以后年度继续使用的资金。</w:t>
      </w:r>
    </w:p>
    <w:p>
      <w:pPr>
        <w:spacing w:line="600" w:lineRule="exact"/>
        <w:ind w:firstLine="640" w:firstLineChars="200"/>
      </w:pPr>
      <w:r>
        <w:rPr>
          <w:rFonts w:hint="eastAsia"/>
        </w:rPr>
        <w:t>9、一般公共服务：反映政府提供一般公共服务的支出</w:t>
      </w:r>
    </w:p>
    <w:p>
      <w:pPr>
        <w:spacing w:line="600" w:lineRule="exact"/>
        <w:ind w:firstLine="640" w:firstLineChars="200"/>
      </w:pPr>
      <w:r>
        <w:rPr>
          <w:rFonts w:hint="eastAsia"/>
        </w:rPr>
        <w:t>10、社会保障和就业支出：反映政府在社会保障与就业方面的支出。</w:t>
      </w:r>
    </w:p>
    <w:p>
      <w:pPr>
        <w:spacing w:line="600" w:lineRule="exact"/>
        <w:ind w:firstLine="640" w:firstLineChars="200"/>
      </w:pPr>
      <w:r>
        <w:rPr>
          <w:rFonts w:hint="eastAsia"/>
        </w:rPr>
        <w:t>11、国土海洋气象等支出：反映政府用于国土资源、海洋、测绘、地震、气象等公益服务事业方面的支出。</w:t>
      </w:r>
    </w:p>
    <w:p>
      <w:pPr>
        <w:spacing w:line="600" w:lineRule="exact"/>
        <w:ind w:firstLine="640" w:firstLineChars="200"/>
      </w:pPr>
      <w:r>
        <w:rPr>
          <w:rFonts w:hint="eastAsia"/>
        </w:rPr>
        <w:t>12、机关事业单位基本养老保险支出：反映机关事业单位实施养老保险制度由单位缴纳的基本养老保险支出。</w:t>
      </w:r>
    </w:p>
    <w:p>
      <w:pPr>
        <w:spacing w:line="600" w:lineRule="exact"/>
        <w:ind w:firstLine="640" w:firstLineChars="200"/>
      </w:pPr>
      <w:r>
        <w:rPr>
          <w:rFonts w:hint="eastAsia"/>
        </w:rPr>
        <w:t>13、其他社会保障和就业支出：反映其他用于其他社会保障和就业方面的支出。</w:t>
      </w:r>
    </w:p>
    <w:p>
      <w:pPr>
        <w:spacing w:line="600" w:lineRule="exact"/>
        <w:ind w:firstLine="640" w:firstLineChars="200"/>
      </w:pPr>
      <w:r>
        <w:rPr>
          <w:rFonts w:hint="eastAsia"/>
        </w:rPr>
        <w:t>14、住房公积金支出：反映机关事业单位按人力资源和社会保障部，财政部规定的基本工资和津贴补贴以及规定比例为职工缴纳的住房公积金。</w:t>
      </w:r>
    </w:p>
    <w:p>
      <w:pPr>
        <w:spacing w:line="600" w:lineRule="exact"/>
        <w:ind w:firstLine="640" w:firstLineChars="200"/>
      </w:pPr>
      <w:r>
        <w:rPr>
          <w:rFonts w:hint="eastAsia"/>
        </w:rPr>
        <w:t>15、事业运行：反映机关事业单位的基本支出，不包括行政单位（包括实行公务员管理的事业单位）后勤服务中心，医务室等附属事业单位。</w:t>
      </w:r>
    </w:p>
    <w:p>
      <w:pPr>
        <w:spacing w:line="600" w:lineRule="exact"/>
        <w:ind w:firstLine="640" w:firstLineChars="200"/>
      </w:pPr>
      <w:r>
        <w:rPr>
          <w:rFonts w:hint="eastAsia"/>
        </w:rPr>
        <w:t>16、机关事业单位职业年金保险支出：反映机关事业单位实施养老保险制度由单位缴纳的职业年金保险支出。</w:t>
      </w:r>
    </w:p>
    <w:p>
      <w:pPr>
        <w:spacing w:line="600" w:lineRule="exact"/>
        <w:ind w:firstLine="640" w:firstLineChars="200"/>
      </w:pPr>
      <w:r>
        <w:rPr>
          <w:rFonts w:hint="eastAsia"/>
        </w:rPr>
        <w:t>17、基本支出：指为保障机构正常运转、完成日常工作任务而发生的人员支出和公用支出。</w:t>
      </w:r>
    </w:p>
    <w:p>
      <w:pPr>
        <w:spacing w:line="600" w:lineRule="exact"/>
        <w:ind w:firstLine="640" w:firstLineChars="200"/>
      </w:pPr>
      <w:r>
        <w:rPr>
          <w:rFonts w:hint="eastAsia"/>
        </w:rPr>
        <w:t xml:space="preserve">18、项目支出：指在基本支出之外为完成特定行政任务和事业发展目标所发生的支出。 </w:t>
      </w:r>
    </w:p>
    <w:p>
      <w:pPr>
        <w:spacing w:line="600" w:lineRule="exact"/>
        <w:ind w:firstLine="640" w:firstLineChars="200"/>
      </w:pPr>
      <w:r>
        <w:rPr>
          <w:rFonts w:hint="eastAsia"/>
        </w:rPr>
        <w:t>19、经营支出：指事业单位在专业业务活动及其辅助活动之外开展非独立核算经营活动发生的支出。</w:t>
      </w:r>
    </w:p>
    <w:p>
      <w:pPr>
        <w:spacing w:line="600" w:lineRule="exact"/>
        <w:ind w:firstLine="640" w:firstLineChars="200"/>
      </w:pPr>
      <w:r>
        <w:rPr>
          <w:rFonts w:hint="eastAsia"/>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pPr>
      <w:r>
        <w:rPr>
          <w:rFonts w:hint="eastAsia"/>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pPr>
      <w:r>
        <w:rPr>
          <w:rFonts w:hint="eastAsia"/>
        </w:rPr>
        <w:t>22.小学教育：主要反映金江中小学的小学教育支出，政府部门对社会组织等举办的小学的资助，如各类补贴等。</w:t>
      </w:r>
    </w:p>
    <w:p>
      <w:pPr>
        <w:spacing w:line="600" w:lineRule="exact"/>
        <w:ind w:firstLine="640" w:firstLineChars="200"/>
      </w:pPr>
      <w:r>
        <w:rPr>
          <w:rFonts w:hint="eastAsia"/>
        </w:rPr>
        <w:t>23.机关事业单位基本养老保险缴费支出：主要反映金江中小学实施养老保险制度由单位缴纳的基本养老保险支出。</w:t>
      </w:r>
    </w:p>
    <w:p>
      <w:pPr>
        <w:spacing w:line="600" w:lineRule="exact"/>
        <w:rPr>
          <w:rFonts w:hint="eastAsia"/>
        </w:rPr>
      </w:pPr>
    </w:p>
    <w:p>
      <w:pPr>
        <w:spacing w:line="600" w:lineRule="exact"/>
        <w:ind w:firstLine="640" w:firstLineChars="200"/>
      </w:pPr>
      <w:r>
        <w:t>附件：表1.部门收支总表</w:t>
      </w:r>
    </w:p>
    <w:p>
      <w:pPr>
        <w:spacing w:line="600" w:lineRule="exact"/>
      </w:pPr>
      <w:r>
        <w:t xml:space="preserve">          表1-1.部门收入总表</w:t>
      </w:r>
    </w:p>
    <w:p>
      <w:pPr>
        <w:spacing w:line="600" w:lineRule="exact"/>
      </w:pPr>
      <w:r>
        <w:t xml:space="preserve">          表1-2.部门支出总表</w:t>
      </w:r>
    </w:p>
    <w:p>
      <w:pPr>
        <w:spacing w:line="600" w:lineRule="exact"/>
        <w:ind w:firstLine="1600" w:firstLineChars="500"/>
      </w:pPr>
      <w:r>
        <w:t>表2.财政拨款收支预算总表</w:t>
      </w:r>
    </w:p>
    <w:p>
      <w:pPr>
        <w:spacing w:line="600" w:lineRule="exact"/>
        <w:ind w:firstLine="1600" w:firstLineChars="500"/>
      </w:pPr>
      <w:r>
        <w:t>表2-1.财政拨款支出预算表</w:t>
      </w:r>
    </w:p>
    <w:p>
      <w:pPr>
        <w:spacing w:line="600" w:lineRule="exact"/>
        <w:ind w:firstLine="1600" w:firstLineChars="500"/>
      </w:pPr>
      <w:r>
        <w:t>表3.一般公共预算支出预算表</w:t>
      </w:r>
    </w:p>
    <w:p>
      <w:pPr>
        <w:spacing w:line="600" w:lineRule="exact"/>
        <w:ind w:firstLine="1600" w:firstLineChars="500"/>
      </w:pPr>
      <w:r>
        <w:t>表3-1.一般公共预算基本支出预算表</w:t>
      </w:r>
    </w:p>
    <w:p>
      <w:pPr>
        <w:spacing w:line="600" w:lineRule="exact"/>
        <w:ind w:firstLine="1600" w:firstLineChars="500"/>
      </w:pPr>
      <w:r>
        <w:t>表3-2.一般公共预算项目支出预算表</w:t>
      </w:r>
    </w:p>
    <w:p>
      <w:pPr>
        <w:spacing w:line="600" w:lineRule="exact"/>
        <w:ind w:firstLine="1600" w:firstLineChars="500"/>
      </w:pPr>
      <w:r>
        <w:t>表3-3.一般公共预算“三公”经费支出预算表</w:t>
      </w:r>
    </w:p>
    <w:p>
      <w:pPr>
        <w:spacing w:line="600" w:lineRule="exact"/>
        <w:ind w:firstLine="1600" w:firstLineChars="500"/>
      </w:pPr>
      <w:r>
        <w:t>表4.政府性基金支出预算表</w:t>
      </w:r>
    </w:p>
    <w:p>
      <w:pPr>
        <w:spacing w:line="600" w:lineRule="exact"/>
        <w:ind w:firstLine="1600" w:firstLineChars="500"/>
      </w:pPr>
      <w:r>
        <w:t>表4-1.政府性基金预算“三公”经费支出预算表</w:t>
      </w:r>
    </w:p>
    <w:p>
      <w:pPr>
        <w:spacing w:line="600" w:lineRule="exact"/>
        <w:ind w:firstLine="1600" w:firstLineChars="500"/>
      </w:pPr>
      <w:r>
        <w:t>表5.国有资本经营预算支出预算表</w:t>
      </w:r>
    </w:p>
    <w:p>
      <w:pPr>
        <w:spacing w:line="600" w:lineRule="exact"/>
        <w:ind w:firstLine="1600" w:firstLineChars="500"/>
      </w:pPr>
      <w:r>
        <w:t>表6.部门预算项目绩效目标表</w:t>
      </w:r>
    </w:p>
    <w:p>
      <w:pPr>
        <w:spacing w:line="600" w:lineRule="exact"/>
        <w:ind w:firstLine="1600" w:firstLineChars="500"/>
      </w:pPr>
      <w:r>
        <w:t>表7.部门整体支出绩效目标表</w:t>
      </w:r>
    </w:p>
    <w:p>
      <w:pPr>
        <w:spacing w:line="600" w:lineRule="exact"/>
        <w:ind w:firstLine="640" w:firstLineChars="200"/>
        <w:rPr>
          <w:u w:val="single"/>
        </w:rPr>
      </w:pPr>
    </w:p>
    <w:sectPr>
      <w:footerReference r:id="rId5"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宋体" w:hAnsi="宋体"/>
        <w:sz w:val="30"/>
        <w:szCs w:val="30"/>
      </w:rPr>
    </w:pPr>
    <w:r>
      <w:rPr>
        <w:rFonts w:ascii="宋体" w:hAnsi="宋体"/>
        <w:sz w:val="30"/>
        <w:szCs w:val="30"/>
      </w:rPr>
      <w:fldChar w:fldCharType="begin"/>
    </w:r>
    <w:r>
      <w:rPr>
        <w:rStyle w:val="10"/>
        <w:rFonts w:ascii="宋体" w:hAnsi="宋体"/>
        <w:sz w:val="30"/>
        <w:szCs w:val="30"/>
      </w:rPr>
      <w:instrText xml:space="preserve">PAGE  </w:instrText>
    </w:r>
    <w:r>
      <w:rPr>
        <w:rFonts w:ascii="宋体" w:hAnsi="宋体"/>
        <w:sz w:val="30"/>
        <w:szCs w:val="30"/>
      </w:rPr>
      <w:fldChar w:fldCharType="separate"/>
    </w:r>
    <w:r>
      <w:rPr>
        <w:rStyle w:val="10"/>
        <w:rFonts w:ascii="宋体" w:hAnsi="宋体"/>
        <w:sz w:val="30"/>
        <w:szCs w:val="30"/>
      </w:rPr>
      <w:t>- 4 -</w:t>
    </w:r>
    <w:r>
      <w:rPr>
        <w:rFonts w:ascii="宋体" w:hAnsi="宋体"/>
        <w:sz w:val="30"/>
        <w:szCs w:val="30"/>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BF8"/>
    <w:rsid w:val="00123C83"/>
    <w:rsid w:val="00172A27"/>
    <w:rsid w:val="00533C6C"/>
    <w:rsid w:val="005B39D1"/>
    <w:rsid w:val="00665300"/>
    <w:rsid w:val="006D7C07"/>
    <w:rsid w:val="00771177"/>
    <w:rsid w:val="00801190"/>
    <w:rsid w:val="00831FC7"/>
    <w:rsid w:val="00843B2C"/>
    <w:rsid w:val="0093288F"/>
    <w:rsid w:val="009E6CBA"/>
    <w:rsid w:val="00A3649A"/>
    <w:rsid w:val="00AC5943"/>
    <w:rsid w:val="00C23FE8"/>
    <w:rsid w:val="00C325FD"/>
    <w:rsid w:val="00C948C7"/>
    <w:rsid w:val="00E1096D"/>
    <w:rsid w:val="00F05AFC"/>
    <w:rsid w:val="024C39AF"/>
    <w:rsid w:val="026D50A3"/>
    <w:rsid w:val="06CC0D67"/>
    <w:rsid w:val="0A1B5312"/>
    <w:rsid w:val="0C3A0095"/>
    <w:rsid w:val="0DD324B6"/>
    <w:rsid w:val="10E0290C"/>
    <w:rsid w:val="11C97D4A"/>
    <w:rsid w:val="13B925F8"/>
    <w:rsid w:val="14117320"/>
    <w:rsid w:val="17174C81"/>
    <w:rsid w:val="17910EAF"/>
    <w:rsid w:val="17BB1A9C"/>
    <w:rsid w:val="18057602"/>
    <w:rsid w:val="1BD0283F"/>
    <w:rsid w:val="208D7116"/>
    <w:rsid w:val="20E5660A"/>
    <w:rsid w:val="2A7A4CF5"/>
    <w:rsid w:val="2C5A1872"/>
    <w:rsid w:val="2EEC52B7"/>
    <w:rsid w:val="31E6052A"/>
    <w:rsid w:val="32483DF0"/>
    <w:rsid w:val="357F58F8"/>
    <w:rsid w:val="35A63982"/>
    <w:rsid w:val="36641C2D"/>
    <w:rsid w:val="370945C1"/>
    <w:rsid w:val="37B578D9"/>
    <w:rsid w:val="37BB10B5"/>
    <w:rsid w:val="3AC04E69"/>
    <w:rsid w:val="3CD05F17"/>
    <w:rsid w:val="3F8F587F"/>
    <w:rsid w:val="484B3B49"/>
    <w:rsid w:val="4ADE61A7"/>
    <w:rsid w:val="4B270992"/>
    <w:rsid w:val="50A14292"/>
    <w:rsid w:val="50BF1E84"/>
    <w:rsid w:val="559A08A5"/>
    <w:rsid w:val="590402F8"/>
    <w:rsid w:val="6592617F"/>
    <w:rsid w:val="6831726E"/>
    <w:rsid w:val="69286279"/>
    <w:rsid w:val="6C5E6C63"/>
    <w:rsid w:val="73A008DD"/>
    <w:rsid w:val="75BC76E9"/>
    <w:rsid w:val="7792547C"/>
    <w:rsid w:val="77DE338F"/>
    <w:rsid w:val="7ADC7036"/>
    <w:rsid w:val="7C3D6891"/>
    <w:rsid w:val="7D5D4F64"/>
    <w:rsid w:val="7E6243A5"/>
    <w:rsid w:val="A7FFA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sz w:val="30"/>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paragraph" w:customStyle="1" w:styleId="11">
    <w:name w:val="Char Char1 Char Char Char Char Char Char Char Char"/>
    <w:basedOn w:val="1"/>
    <w:next w:val="1"/>
    <w:qFormat/>
    <w:uiPriority w:val="0"/>
    <w:pPr>
      <w:spacing w:line="240" w:lineRule="atLeast"/>
      <w:ind w:left="420" w:firstLine="420"/>
      <w:jc w:val="left"/>
    </w:pPr>
    <w:rPr>
      <w:rFonts w:eastAsia="宋体"/>
      <w:kern w:val="0"/>
      <w:sz w:val="21"/>
      <w:szCs w:val="21"/>
    </w:rPr>
  </w:style>
  <w:style w:type="paragraph" w:customStyle="1" w:styleId="12">
    <w:name w:val="Char Char Char Char Char 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2984</Words>
  <Characters>3939</Characters>
  <Lines>179</Lines>
  <Paragraphs>150</Paragraphs>
  <TotalTime>7</TotalTime>
  <ScaleCrop>false</ScaleCrop>
  <LinksUpToDate>false</LinksUpToDate>
  <CharactersWithSpaces>6773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2026-02-23T22:44:00Z</dcterms:created>
  <dc:creator>赵树子</dc:creator>
  <cp:lastModifiedBy>user</cp:lastModifiedBy>
  <cp:lastPrinted>2017-02-23T16:48:00Z</cp:lastPrinted>
  <dcterms:modified xsi:type="dcterms:W3CDTF">2026-02-25T16:07:35Z</dcterms:modified>
  <dc:title>四川省财政厅2011年部门预算编制说明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18CF006BC1C74EC89E9AC322F5715A10_13</vt:lpwstr>
  </property>
  <property fmtid="{D5CDD505-2E9C-101B-9397-08002B2CF9AE}" pid="4" name="KSOTemplateDocerSaveRecord">
    <vt:lpwstr>eyJoZGlkIjoiYjExNzA0MTQzZWVhZTM5OTdhNDA3YTEwMThmYzAwZjAiLCJ1c2VySWQiOiI2MDA3Nzc1MjgifQ==</vt:lpwstr>
  </property>
</Properties>
</file>