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ascii="Times New Roman" w:hAnsi="Times New Roman" w:eastAsia="黑体" w:cs="Times New Roman"/>
          <w:sz w:val="32"/>
          <w:szCs w:val="32"/>
        </w:rPr>
      </w:pPr>
    </w:p>
    <w:p>
      <w:pPr>
        <w:overflowPunct w:val="0"/>
        <w:topLinePunct/>
        <w:spacing w:line="570" w:lineRule="exact"/>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val="en-US" w:eastAsia="zh-CN"/>
        </w:rPr>
        <w:t>省</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val="en-US" w:eastAsia="zh-CN"/>
        </w:rPr>
        <w:t>7</w:t>
      </w:r>
      <w:r>
        <w:rPr>
          <w:rFonts w:hint="eastAsia" w:ascii="Times New Roman" w:hAnsi="Times New Roman" w:eastAsia="方正小标宋简体" w:cs="Times New Roman"/>
          <w:sz w:val="44"/>
          <w:szCs w:val="44"/>
        </w:rPr>
        <w:t>项</w:t>
      </w:r>
    </w:p>
    <w:p>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整改任务完成情况表</w:t>
      </w:r>
    </w:p>
    <w:p>
      <w:pPr>
        <w:overflowPunct w:val="0"/>
        <w:topLinePunct/>
        <w:spacing w:line="600" w:lineRule="exact"/>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单位：攀枝花市经济和信息化局</w:t>
      </w: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cs="Times New Roman" w:eastAsiaTheme="minorEastAsia"/>
                <w:kern w:val="2"/>
                <w:sz w:val="28"/>
                <w:szCs w:val="28"/>
                <w:lang w:val="en-US" w:eastAsia="zh-CN" w:bidi="ar-SA"/>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项目违规上马私扩产能，擅自扩大产能。此外，恒豪铸造未配备“短流程”铸造工艺，旭鼎机械已配备“短流程”铸造工艺但实际未使用，其生铁高炉设备均属于淘汰类设施，仍长期使用，铸造生铁流入钢铁市场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楷体_GB2312" w:cs="Times New Roman"/>
                <w:kern w:val="0"/>
                <w:sz w:val="36"/>
                <w:szCs w:val="36"/>
              </w:rPr>
            </w:pPr>
            <w:r>
              <w:rPr>
                <w:rFonts w:hint="eastAsia" w:ascii="仿宋_GB2312" w:hAnsi="仿宋_GB2312" w:eastAsia="仿宋_GB2312" w:cs="仿宋_GB2312"/>
                <w:b w:val="0"/>
                <w:bCs w:val="0"/>
                <w:color w:val="auto"/>
                <w:kern w:val="2"/>
                <w:sz w:val="28"/>
                <w:szCs w:val="28"/>
                <w:highlight w:val="none"/>
                <w:lang w:val="en-US" w:eastAsia="zh-CN" w:bidi="ar-SA"/>
              </w:rPr>
              <w:t>国家钒钛高新区管委会。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4"/>
                <w:szCs w:val="24"/>
                <w:lang w:eastAsia="zh-CN"/>
              </w:rPr>
              <w:t>加强备案项目管理，从严要求项目建设与备案内容一致，严禁项目批小建大杜绝企业超产能生产，确保企业在批复允许范围内生产。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118" w:type="dxa"/>
            <w:tcBorders>
              <w:top w:val="single" w:color="auto" w:sz="4" w:space="0"/>
              <w:left w:val="nil"/>
              <w:bottom w:val="single" w:color="auto" w:sz="4" w:space="0"/>
              <w:right w:val="single" w:color="auto" w:sz="4" w:space="0"/>
            </w:tcBorders>
          </w:tcPr>
          <w:p>
            <w:pPr>
              <w:overflowPunct w:val="0"/>
              <w:topLinePunct/>
              <w:spacing w:line="500" w:lineRule="exact"/>
              <w:jc w:val="left"/>
              <w:rPr>
                <w:rFonts w:ascii="Times New Roman" w:hAnsi="Times New Roman" w:eastAsia="楷体_GB2312" w:cs="Times New Roman"/>
                <w:kern w:val="0"/>
                <w:sz w:val="36"/>
                <w:szCs w:val="36"/>
              </w:rPr>
            </w:pPr>
            <w:r>
              <w:rPr>
                <w:rFonts w:hint="eastAsia" w:ascii="仿宋_GB2312" w:hAnsi="仿宋_GB2312" w:eastAsia="仿宋_GB2312" w:cs="仿宋_GB2312"/>
                <w:b w:val="0"/>
                <w:bCs w:val="0"/>
                <w:color w:val="auto"/>
                <w:kern w:val="2"/>
                <w:sz w:val="28"/>
                <w:szCs w:val="28"/>
                <w:highlight w:val="none"/>
                <w:lang w:val="en-US" w:eastAsia="zh-CN" w:bidi="ar-SA"/>
              </w:rPr>
              <w:t xml:space="preserve">2025年10月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1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1.2024年4月起，严格督促企业按照备案文件要求生产铸造产品，企业不得将铸造生铁流入钢铁、贸易市场。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2.2025年6月底前，恒豪铸造完成5万吨/年铸造短流程生产线配备；逾期不能完成配备，企业于2025年10月底前将生铁高炉设备作为淘汰类设备给予淘汰。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kern w:val="2"/>
                <w:sz w:val="24"/>
                <w:szCs w:val="24"/>
                <w:lang w:val="en-US" w:eastAsia="zh-CN" w:bidi="ar-SA"/>
              </w:rPr>
            </w:pPr>
            <w:r>
              <w:rPr>
                <w:rFonts w:hint="eastAsia" w:ascii="仿宋_GB2312" w:hAnsi="仿宋_GB2312" w:eastAsia="仿宋_GB2312" w:cs="仿宋_GB2312"/>
                <w:spacing w:val="2"/>
                <w:sz w:val="28"/>
                <w:szCs w:val="28"/>
                <w:lang w:val="en-US" w:eastAsia="zh-CN"/>
              </w:rPr>
              <w:t>3.2025年6月底前，旭鼎机械恢复10万吨/年铸造短流程生产线；逾期不能恢复，企业于2025年10月底前将生铁高炉设备作为淘汰类设备给予淘汰。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118" w:type="dxa"/>
            <w:tcBorders>
              <w:top w:val="single" w:color="auto" w:sz="4" w:space="0"/>
              <w:left w:val="nil"/>
              <w:bottom w:val="single" w:color="auto" w:sz="4" w:space="0"/>
              <w:right w:val="single" w:color="auto" w:sz="4" w:space="0"/>
            </w:tcBorders>
          </w:tcPr>
          <w:tbl>
            <w:tblPr>
              <w:tblStyle w:val="6"/>
              <w:tblW w:w="9375"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7800"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8"/>
                      <w:szCs w:val="28"/>
                      <w:lang w:val="en-US" w:eastAsia="zh-CN"/>
                    </w:rPr>
                    <w:t>.2024年4月起，钒钛高新区管委会按照备案文件要求督促企业不得将铸造生铁流入钢铁行业、贸易市场。2024年7月，发函国网攀枝花仁和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z w:val="28"/>
                      <w:szCs w:val="28"/>
                      <w:lang w:val="en-US" w:eastAsia="zh-CN"/>
                    </w:rPr>
                    <w:t>供电公司，对旭鼎机械、恒豪铸造、朵实机械、泓兵钒</w:t>
                  </w:r>
                  <w:r>
                    <w:rPr>
                      <w:rFonts w:hint="eastAsia" w:ascii="仿宋_GB2312" w:hAnsi="仿宋_GB2312" w:eastAsia="仿宋_GB2312" w:cs="仿宋_GB2312"/>
                      <w:sz w:val="28"/>
                      <w:szCs w:val="28"/>
                    </w:rPr>
                    <w:t>镍</w:t>
                  </w:r>
                  <w:r>
                    <w:rPr>
                      <w:rFonts w:hint="eastAsia" w:ascii="仿宋_GB2312" w:hAnsi="仿宋_GB2312" w:eastAsia="仿宋_GB2312" w:cs="仿宋_GB2312"/>
                      <w:sz w:val="28"/>
                      <w:szCs w:val="28"/>
                      <w:lang w:eastAsia="zh-CN"/>
                    </w:rPr>
                    <w:t>、丰力钒钛等</w:t>
                  </w:r>
                  <w:r>
                    <w:rPr>
                      <w:rFonts w:hint="eastAsia" w:ascii="仿宋_GB2312" w:hAnsi="仿宋_GB2312" w:eastAsia="仿宋_GB2312" w:cs="仿宋_GB2312"/>
                      <w:sz w:val="28"/>
                      <w:szCs w:val="28"/>
                      <w:lang w:val="en-US" w:eastAsia="zh-CN"/>
                    </w:rPr>
                    <w:t>5家铸造企业采取强制停电停产措施，督促企业整改，从源头上阻止</w:t>
                  </w:r>
                  <w:r>
                    <w:rPr>
                      <w:rFonts w:hint="eastAsia" w:ascii="仿宋_GB2312" w:hAnsi="仿宋_GB2312" w:eastAsia="仿宋_GB2312" w:cs="仿宋_GB2312"/>
                      <w:spacing w:val="2"/>
                      <w:sz w:val="28"/>
                      <w:szCs w:val="28"/>
                      <w:lang w:val="en-US" w:eastAsia="zh-CN"/>
                    </w:rPr>
                    <w:t>铸造生铁流入钢铁、贸易市场。</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恒豪铸造于2024年7月14日开始全线停产整改；11月完成5万吨/年铸造短流程生产线配备；2024年12月18日市经济和信息化局组织钒钛高新区管委会、市发展改革委、市生态环境局对恒豪铸造复产相关整改情况进行了现场核查验收，并通过验收。</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z w:val="28"/>
                      <w:szCs w:val="28"/>
                      <w:lang w:val="en-US" w:eastAsia="zh-CN"/>
                    </w:rPr>
                    <w:t>旭鼎机械由于市场及经济原因已于2024年6月1日全面停产并遣散全体员工，短期内无恢复生产可能。2024年7月，</w:t>
                  </w:r>
                  <w:r>
                    <w:rPr>
                      <w:rFonts w:hint="eastAsia" w:ascii="仿宋_GB2312" w:hAnsi="仿宋_GB2312" w:eastAsia="仿宋_GB2312" w:cs="仿宋_GB2312"/>
                      <w:spacing w:val="2"/>
                      <w:sz w:val="28"/>
                      <w:szCs w:val="28"/>
                      <w:lang w:val="en-US" w:eastAsia="zh-CN"/>
                    </w:rPr>
                    <w:t>钒钛高新区管委会</w:t>
                  </w:r>
                  <w:r>
                    <w:rPr>
                      <w:rFonts w:hint="eastAsia" w:ascii="仿宋_GB2312" w:hAnsi="仿宋_GB2312" w:eastAsia="仿宋_GB2312" w:cs="仿宋_GB2312"/>
                      <w:sz w:val="28"/>
                      <w:szCs w:val="28"/>
                      <w:lang w:val="en-US" w:eastAsia="zh-CN"/>
                    </w:rPr>
                    <w:t>发函国网攀枝花仁和供电公司，对旭鼎机械断水断电。2025年11月1日企业承诺恢复生产前</w:t>
                  </w:r>
                  <w:r>
                    <w:rPr>
                      <w:rFonts w:hint="eastAsia" w:ascii="仿宋_GB2312" w:hAnsi="仿宋_GB2312" w:eastAsia="仿宋_GB2312" w:cs="仿宋_GB2312"/>
                      <w:sz w:val="24"/>
                      <w:szCs w:val="24"/>
                      <w:lang w:val="en-US" w:eastAsia="zh-CN"/>
                    </w:rPr>
                    <w:t>完成该问题整改。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800" w:type="dxa"/>
                  <w:vAlign w:val="center"/>
                </w:tcPr>
                <w:p>
                  <w:pPr>
                    <w:numPr>
                      <w:ilvl w:val="0"/>
                      <w:numId w:val="0"/>
                    </w:numPr>
                    <w:rPr>
                      <w:rFonts w:hint="eastAsia" w:ascii="仿宋_GB2312" w:hAnsi="仿宋_GB2312" w:eastAsia="仿宋_GB2312" w:cs="仿宋_GB2312"/>
                      <w:sz w:val="32"/>
                      <w:szCs w:val="32"/>
                      <w:lang w:val="en-US" w:eastAsia="zh-CN"/>
                    </w:rPr>
                  </w:pPr>
                </w:p>
              </w:tc>
            </w:tr>
          </w:tbl>
          <w:p>
            <w:pPr>
              <w:overflowPunct w:val="0"/>
              <w:topLinePunct/>
              <w:spacing w:line="500" w:lineRule="exact"/>
              <w:jc w:val="left"/>
              <w:rPr>
                <w:rFonts w:ascii="Times New Roman" w:hAnsi="Times New Roman" w:eastAsia="楷体_GB2312" w:cs="Times New Roman"/>
                <w:kern w:val="0"/>
                <w:sz w:val="36"/>
                <w:szCs w:val="3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2D022"/>
    <w:multiLevelType w:val="singleLevel"/>
    <w:tmpl w:val="FDC2D02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5339"/>
    <w:rsid w:val="2ABB5339"/>
    <w:rsid w:val="6BAF7038"/>
    <w:rsid w:val="7FE7E404"/>
    <w:rsid w:val="AFFD6295"/>
    <w:rsid w:val="BF7DDA4D"/>
    <w:rsid w:val="C3DAACE6"/>
    <w:rsid w:val="F671F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cs="宋体"/>
      <w:color w:val="000000"/>
      <w:kern w:val="0"/>
      <w:sz w:val="24"/>
    </w:rPr>
  </w:style>
  <w:style w:type="paragraph" w:styleId="3">
    <w:name w:val="index 8"/>
    <w:basedOn w:val="1"/>
    <w:next w:val="1"/>
    <w:semiHidden/>
    <w:qFormat/>
    <w:uiPriority w:val="99"/>
    <w:pPr>
      <w:ind w:left="2940"/>
    </w:pPr>
  </w:style>
  <w:style w:type="paragraph" w:styleId="4">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2026-06-03T07:54:00Z</dcterms:created>
  <dc:creator>Administrator</dc:creator>
  <cp:lastModifiedBy>user</cp:lastModifiedBy>
  <dcterms:modified xsi:type="dcterms:W3CDTF">2026-06-03T10:38:18Z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